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362F6" w14:textId="77777777" w:rsidR="00AC07D8" w:rsidRPr="00AC07D8" w:rsidRDefault="00AC07D8" w:rsidP="008518FF">
      <w:pPr>
        <w:spacing w:before="240" w:after="240"/>
        <w:jc w:val="center"/>
        <w:rPr>
          <w:b/>
          <w:bCs/>
          <w:color w:val="44546A"/>
          <w:sz w:val="44"/>
          <w:szCs w:val="70"/>
          <w:u w:val="single"/>
        </w:rPr>
      </w:pPr>
    </w:p>
    <w:p w14:paraId="26E61B14" w14:textId="77777777" w:rsidR="008518FF" w:rsidRDefault="008518FF" w:rsidP="008518FF">
      <w:pPr>
        <w:spacing w:before="240" w:after="240"/>
        <w:jc w:val="center"/>
        <w:rPr>
          <w:b/>
          <w:bCs/>
          <w:color w:val="44546A"/>
          <w:sz w:val="70"/>
          <w:szCs w:val="70"/>
          <w:u w:val="single"/>
        </w:rPr>
      </w:pPr>
      <w:r>
        <w:rPr>
          <w:b/>
          <w:bCs/>
          <w:color w:val="44546A"/>
          <w:sz w:val="70"/>
          <w:szCs w:val="70"/>
          <w:u w:val="single"/>
        </w:rPr>
        <w:t>Memoria de Transparencia</w:t>
      </w:r>
    </w:p>
    <w:p w14:paraId="596F7ED4" w14:textId="25B84B97" w:rsidR="008518FF" w:rsidRDefault="008518FF" w:rsidP="00AC07D8">
      <w:pPr>
        <w:spacing w:before="240" w:after="240"/>
        <w:jc w:val="center"/>
        <w:rPr>
          <w:b/>
          <w:bCs/>
          <w:color w:val="44546A"/>
          <w:sz w:val="38"/>
          <w:szCs w:val="38"/>
          <w:u w:val="single"/>
        </w:rPr>
      </w:pPr>
      <w:proofErr w:type="spellStart"/>
      <w:r>
        <w:rPr>
          <w:b/>
          <w:bCs/>
          <w:color w:val="44546A"/>
          <w:sz w:val="70"/>
          <w:szCs w:val="70"/>
          <w:u w:val="single"/>
        </w:rPr>
        <w:t>Ibecon</w:t>
      </w:r>
      <w:proofErr w:type="spellEnd"/>
      <w:r>
        <w:rPr>
          <w:b/>
          <w:bCs/>
          <w:color w:val="44546A"/>
          <w:sz w:val="70"/>
          <w:szCs w:val="70"/>
          <w:u w:val="single"/>
        </w:rPr>
        <w:t xml:space="preserve"> 2003 S.L.</w:t>
      </w:r>
    </w:p>
    <w:p w14:paraId="24A63463" w14:textId="757AF595" w:rsidR="008518FF" w:rsidRDefault="008518FF" w:rsidP="008518FF">
      <w:pPr>
        <w:spacing w:before="240" w:after="240"/>
        <w:jc w:val="center"/>
        <w:rPr>
          <w:b/>
          <w:bCs/>
          <w:color w:val="44546A"/>
          <w:sz w:val="40"/>
          <w:szCs w:val="40"/>
        </w:rPr>
      </w:pPr>
      <w:r w:rsidRPr="008518FF">
        <w:rPr>
          <w:b/>
          <w:bCs/>
          <w:noProof/>
          <w:color w:val="44546A"/>
          <w:sz w:val="40"/>
          <w:szCs w:val="40"/>
          <w:lang w:val="es-ES"/>
        </w:rPr>
        <w:drawing>
          <wp:inline distT="0" distB="0" distL="0" distR="0" wp14:anchorId="0D1B414A" wp14:editId="5C0EE12B">
            <wp:extent cx="5733415" cy="40513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becon_nov21_transparen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4546A"/>
          <w:sz w:val="40"/>
          <w:szCs w:val="40"/>
          <w:u w:val="single"/>
        </w:rPr>
        <w:t xml:space="preserve"> </w:t>
      </w:r>
      <w:r>
        <w:rPr>
          <w:b/>
          <w:bCs/>
          <w:color w:val="44546A"/>
          <w:sz w:val="40"/>
          <w:szCs w:val="40"/>
        </w:rPr>
        <w:t xml:space="preserve"> </w:t>
      </w:r>
    </w:p>
    <w:p w14:paraId="1734856C" w14:textId="77777777" w:rsidR="008518FF" w:rsidRDefault="008518FF" w:rsidP="008518FF">
      <w:pPr>
        <w:spacing w:before="240" w:after="240"/>
        <w:jc w:val="center"/>
        <w:rPr>
          <w:color w:val="44546A"/>
          <w:sz w:val="30"/>
          <w:szCs w:val="30"/>
        </w:rPr>
      </w:pPr>
      <w:r>
        <w:rPr>
          <w:color w:val="44546A"/>
          <w:sz w:val="30"/>
          <w:szCs w:val="30"/>
        </w:rPr>
        <w:t>Fecha de última actualización: 15-01-2026</w:t>
      </w:r>
    </w:p>
    <w:p w14:paraId="54EF3056" w14:textId="77777777" w:rsidR="008518FF" w:rsidRDefault="008518FF" w:rsidP="008518FF">
      <w:pPr>
        <w:spacing w:before="240" w:after="240"/>
        <w:jc w:val="center"/>
        <w:rPr>
          <w:color w:val="44546A"/>
          <w:sz w:val="24"/>
          <w:szCs w:val="24"/>
        </w:rPr>
      </w:pPr>
      <w:r>
        <w:rPr>
          <w:color w:val="44546A"/>
          <w:sz w:val="24"/>
          <w:szCs w:val="24"/>
        </w:rPr>
        <w:t xml:space="preserve"> </w:t>
      </w:r>
    </w:p>
    <w:p w14:paraId="5F3AE7B1" w14:textId="092C4872" w:rsidR="008518FF" w:rsidRDefault="008518FF" w:rsidP="008518FF">
      <w:pPr>
        <w:spacing w:before="240" w:after="240"/>
        <w:jc w:val="center"/>
        <w:rPr>
          <w:color w:val="44546A"/>
          <w:sz w:val="24"/>
          <w:szCs w:val="24"/>
        </w:rPr>
      </w:pPr>
      <w:r>
        <w:rPr>
          <w:color w:val="44546A"/>
          <w:sz w:val="24"/>
          <w:szCs w:val="24"/>
        </w:rPr>
        <w:t xml:space="preserve">  </w:t>
      </w:r>
    </w:p>
    <w:p w14:paraId="71D75507" w14:textId="77777777" w:rsidR="008518FF" w:rsidRDefault="008518FF" w:rsidP="008518FF">
      <w:pPr>
        <w:spacing w:before="240" w:after="240"/>
        <w:jc w:val="right"/>
        <w:rPr>
          <w:color w:val="44546A"/>
          <w:sz w:val="24"/>
          <w:szCs w:val="24"/>
        </w:rPr>
      </w:pPr>
      <w:r>
        <w:rPr>
          <w:color w:val="44546A"/>
          <w:sz w:val="24"/>
          <w:szCs w:val="24"/>
        </w:rPr>
        <w:t>Contacto:</w:t>
      </w:r>
    </w:p>
    <w:p w14:paraId="6CE5E4AD" w14:textId="77777777" w:rsidR="008518FF" w:rsidRDefault="008518FF" w:rsidP="008518FF">
      <w:pPr>
        <w:spacing w:before="240" w:after="240"/>
        <w:jc w:val="right"/>
        <w:rPr>
          <w:color w:val="44546A"/>
          <w:sz w:val="24"/>
          <w:szCs w:val="24"/>
        </w:rPr>
      </w:pPr>
      <w:r>
        <w:rPr>
          <w:color w:val="44546A"/>
          <w:sz w:val="24"/>
          <w:szCs w:val="24"/>
        </w:rPr>
        <w:t>983 456 470</w:t>
      </w:r>
    </w:p>
    <w:p w14:paraId="4A82B9DB" w14:textId="77777777" w:rsidR="008518FF" w:rsidRDefault="007F23FB" w:rsidP="008518FF">
      <w:pPr>
        <w:ind w:left="5040"/>
        <w:jc w:val="right"/>
        <w:rPr>
          <w:color w:val="44546A"/>
          <w:sz w:val="24"/>
          <w:szCs w:val="24"/>
        </w:rPr>
      </w:pPr>
      <w:hyperlink r:id="rId8">
        <w:r w:rsidR="008518FF">
          <w:rPr>
            <w:color w:val="1155CC"/>
            <w:sz w:val="24"/>
            <w:szCs w:val="24"/>
            <w:u w:val="single"/>
          </w:rPr>
          <w:t>comunicacion@grupoaspasia.com</w:t>
        </w:r>
      </w:hyperlink>
    </w:p>
    <w:p w14:paraId="5F1FE97D" w14:textId="77777777" w:rsidR="008518FF" w:rsidRDefault="008518FF" w:rsidP="008518FF">
      <w:pPr>
        <w:spacing w:line="240" w:lineRule="auto"/>
        <w:jc w:val="center"/>
        <w:rPr>
          <w:rFonts w:eastAsia="Times New Roman"/>
          <w:b/>
          <w:bCs/>
          <w:color w:val="44546A" w:themeColor="text2"/>
          <w:sz w:val="34"/>
          <w:szCs w:val="34"/>
        </w:rPr>
      </w:pPr>
    </w:p>
    <w:p w14:paraId="4BC11917" w14:textId="5FE4A5A0" w:rsidR="008518FF" w:rsidRDefault="008518FF" w:rsidP="008518FF">
      <w:pPr>
        <w:spacing w:line="240" w:lineRule="auto"/>
        <w:jc w:val="center"/>
        <w:rPr>
          <w:rFonts w:eastAsia="Times New Roman"/>
          <w:b/>
          <w:bCs/>
          <w:color w:val="44546A" w:themeColor="text2"/>
          <w:sz w:val="34"/>
          <w:szCs w:val="34"/>
          <w:lang w:val="es-ES"/>
        </w:rPr>
      </w:pPr>
      <w:r>
        <w:rPr>
          <w:rFonts w:eastAsia="Times New Roman"/>
          <w:b/>
          <w:bCs/>
          <w:color w:val="44546A" w:themeColor="text2"/>
          <w:sz w:val="34"/>
          <w:szCs w:val="34"/>
        </w:rPr>
        <w:t xml:space="preserve">Información general de </w:t>
      </w:r>
      <w:proofErr w:type="spellStart"/>
      <w:r>
        <w:rPr>
          <w:rFonts w:eastAsia="Times New Roman"/>
          <w:b/>
          <w:bCs/>
          <w:color w:val="44546A" w:themeColor="text2"/>
          <w:sz w:val="34"/>
          <w:szCs w:val="34"/>
        </w:rPr>
        <w:t>Ibecon</w:t>
      </w:r>
      <w:proofErr w:type="spellEnd"/>
    </w:p>
    <w:p w14:paraId="49EC60E5" w14:textId="77777777" w:rsidR="008518FF" w:rsidRDefault="008518FF" w:rsidP="008518FF">
      <w:pPr>
        <w:spacing w:line="240" w:lineRule="auto"/>
        <w:rPr>
          <w:rFonts w:eastAsia="Times New Roman"/>
          <w:color w:val="44546A" w:themeColor="text2"/>
          <w:sz w:val="24"/>
          <w:szCs w:val="24"/>
        </w:rPr>
      </w:pPr>
    </w:p>
    <w:p w14:paraId="0C4E0D5B" w14:textId="77777777" w:rsidR="008518FF" w:rsidRDefault="008518FF" w:rsidP="008518FF">
      <w:pPr>
        <w:spacing w:before="240" w:after="240" w:line="240" w:lineRule="auto"/>
        <w:jc w:val="both"/>
        <w:rPr>
          <w:rFonts w:eastAsia="Times New Roman"/>
          <w:color w:val="44546A" w:themeColor="text2"/>
          <w:sz w:val="24"/>
          <w:szCs w:val="24"/>
        </w:rPr>
      </w:pPr>
      <w:r>
        <w:rPr>
          <w:rFonts w:eastAsia="Times New Roman"/>
          <w:b/>
          <w:bCs/>
          <w:color w:val="44546A" w:themeColor="text2"/>
          <w:sz w:val="24"/>
          <w:szCs w:val="24"/>
        </w:rPr>
        <w:t>Normativa Legal</w:t>
      </w:r>
    </w:p>
    <w:p w14:paraId="29631F92" w14:textId="73ED659D" w:rsidR="008518FF" w:rsidRDefault="008518FF" w:rsidP="008518FF">
      <w:pPr>
        <w:spacing w:before="240" w:after="240" w:line="240" w:lineRule="auto"/>
        <w:jc w:val="both"/>
        <w:rPr>
          <w:rFonts w:eastAsia="Times New Roman"/>
          <w:color w:val="44546A" w:themeColor="text2"/>
          <w:sz w:val="24"/>
          <w:szCs w:val="24"/>
        </w:rPr>
      </w:pPr>
      <w:proofErr w:type="spellStart"/>
      <w:r>
        <w:rPr>
          <w:rFonts w:eastAsia="Times New Roman"/>
          <w:color w:val="44546A" w:themeColor="text2"/>
          <w:sz w:val="24"/>
          <w:szCs w:val="24"/>
        </w:rPr>
        <w:t>Ibecon</w:t>
      </w:r>
      <w:proofErr w:type="spellEnd"/>
      <w:r>
        <w:rPr>
          <w:rFonts w:eastAsia="Times New Roman"/>
          <w:color w:val="44546A" w:themeColor="text2"/>
          <w:sz w:val="24"/>
          <w:szCs w:val="24"/>
        </w:rPr>
        <w:t xml:space="preserve"> 2003 S.L está regulado por:</w:t>
      </w:r>
    </w:p>
    <w:p w14:paraId="5ABEF0C4" w14:textId="77777777" w:rsidR="008518FF" w:rsidRDefault="008518FF" w:rsidP="008518FF">
      <w:pPr>
        <w:spacing w:before="240" w:after="240" w:line="240" w:lineRule="auto"/>
        <w:ind w:hanging="360"/>
        <w:jc w:val="both"/>
        <w:rPr>
          <w:rFonts w:eastAsia="Times New Roman"/>
          <w:color w:val="44546A" w:themeColor="text2"/>
          <w:sz w:val="24"/>
          <w:szCs w:val="24"/>
        </w:rPr>
      </w:pPr>
      <w:r>
        <w:rPr>
          <w:rFonts w:eastAsia="Times New Roman"/>
          <w:color w:val="44546A" w:themeColor="text2"/>
          <w:sz w:val="24"/>
          <w:szCs w:val="24"/>
        </w:rPr>
        <w:t>–</w:t>
      </w:r>
      <w:r>
        <w:rPr>
          <w:rFonts w:eastAsia="Times New Roman"/>
          <w:color w:val="44546A" w:themeColor="text2"/>
          <w:sz w:val="14"/>
          <w:szCs w:val="14"/>
        </w:rPr>
        <w:t xml:space="preserve">  </w:t>
      </w:r>
      <w:r>
        <w:rPr>
          <w:rFonts w:eastAsia="Times New Roman"/>
          <w:color w:val="44546A" w:themeColor="text2"/>
          <w:sz w:val="14"/>
          <w:szCs w:val="14"/>
        </w:rPr>
        <w:tab/>
      </w:r>
      <w:r>
        <w:rPr>
          <w:rFonts w:eastAsia="Times New Roman"/>
          <w:color w:val="44546A" w:themeColor="text2"/>
          <w:sz w:val="24"/>
          <w:szCs w:val="24"/>
        </w:rPr>
        <w:t>RDL 1/2010 (TRLSC), Ley de Sociedades de Capital.</w:t>
      </w:r>
    </w:p>
    <w:p w14:paraId="6A27690A" w14:textId="77777777" w:rsidR="008518FF" w:rsidRDefault="008518FF" w:rsidP="008518FF">
      <w:pPr>
        <w:spacing w:before="240" w:after="240" w:line="240" w:lineRule="auto"/>
        <w:ind w:hanging="360"/>
        <w:jc w:val="both"/>
        <w:rPr>
          <w:rFonts w:eastAsia="Times New Roman"/>
          <w:color w:val="44546A" w:themeColor="text2"/>
          <w:sz w:val="24"/>
          <w:szCs w:val="24"/>
        </w:rPr>
      </w:pPr>
      <w:r>
        <w:rPr>
          <w:rFonts w:eastAsia="Times New Roman"/>
          <w:color w:val="44546A" w:themeColor="text2"/>
          <w:sz w:val="24"/>
          <w:szCs w:val="24"/>
        </w:rPr>
        <w:t>–</w:t>
      </w:r>
      <w:r>
        <w:rPr>
          <w:rFonts w:eastAsia="Times New Roman"/>
          <w:color w:val="44546A" w:themeColor="text2"/>
          <w:sz w:val="14"/>
          <w:szCs w:val="14"/>
        </w:rPr>
        <w:t xml:space="preserve">  </w:t>
      </w:r>
      <w:r>
        <w:rPr>
          <w:rFonts w:eastAsia="Times New Roman"/>
          <w:color w:val="44546A" w:themeColor="text2"/>
          <w:sz w:val="14"/>
          <w:szCs w:val="14"/>
        </w:rPr>
        <w:tab/>
      </w:r>
      <w:r>
        <w:rPr>
          <w:rFonts w:eastAsia="Times New Roman"/>
          <w:color w:val="44546A" w:themeColor="text2"/>
          <w:sz w:val="24"/>
          <w:szCs w:val="24"/>
        </w:rPr>
        <w:t>Ley 38/2003 de 17 de Noviembre, General de subvenciones.</w:t>
      </w:r>
    </w:p>
    <w:p w14:paraId="04F59CAC" w14:textId="77777777" w:rsidR="008518FF" w:rsidRDefault="008518FF" w:rsidP="008518FF">
      <w:pPr>
        <w:spacing w:before="240" w:after="240" w:line="240" w:lineRule="auto"/>
        <w:ind w:hanging="360"/>
        <w:jc w:val="both"/>
        <w:rPr>
          <w:rFonts w:eastAsia="Times New Roman"/>
          <w:color w:val="44546A" w:themeColor="text2"/>
          <w:sz w:val="24"/>
          <w:szCs w:val="24"/>
        </w:rPr>
      </w:pPr>
      <w:r>
        <w:rPr>
          <w:rFonts w:eastAsia="Times New Roman"/>
          <w:color w:val="44546A" w:themeColor="text2"/>
          <w:sz w:val="24"/>
          <w:szCs w:val="24"/>
        </w:rPr>
        <w:t>–</w:t>
      </w:r>
      <w:r>
        <w:rPr>
          <w:rFonts w:eastAsia="Times New Roman"/>
          <w:color w:val="44546A" w:themeColor="text2"/>
          <w:sz w:val="14"/>
          <w:szCs w:val="14"/>
        </w:rPr>
        <w:t xml:space="preserve">  </w:t>
      </w:r>
      <w:r>
        <w:rPr>
          <w:rFonts w:eastAsia="Times New Roman"/>
          <w:color w:val="44546A" w:themeColor="text2"/>
          <w:sz w:val="14"/>
          <w:szCs w:val="14"/>
        </w:rPr>
        <w:tab/>
      </w:r>
      <w:r>
        <w:rPr>
          <w:rFonts w:eastAsia="Times New Roman"/>
          <w:color w:val="44546A" w:themeColor="text2"/>
          <w:sz w:val="24"/>
          <w:szCs w:val="24"/>
        </w:rPr>
        <w:t>Ley 19/2013 de 9 de diciembre, de transparencia, acceso a la información pública y buen gobierno.</w:t>
      </w:r>
    </w:p>
    <w:p w14:paraId="5D882582" w14:textId="77777777" w:rsidR="008518FF" w:rsidRDefault="008518FF" w:rsidP="008518FF">
      <w:pPr>
        <w:spacing w:before="240" w:after="240" w:line="240" w:lineRule="auto"/>
        <w:ind w:hanging="360"/>
        <w:jc w:val="both"/>
        <w:rPr>
          <w:rFonts w:eastAsia="Times New Roman"/>
          <w:color w:val="44546A" w:themeColor="text2"/>
          <w:sz w:val="24"/>
          <w:szCs w:val="24"/>
        </w:rPr>
      </w:pPr>
      <w:r>
        <w:rPr>
          <w:rFonts w:eastAsia="Times New Roman"/>
          <w:color w:val="44546A" w:themeColor="text2"/>
          <w:sz w:val="24"/>
          <w:szCs w:val="24"/>
        </w:rPr>
        <w:t>–</w:t>
      </w:r>
      <w:r>
        <w:rPr>
          <w:rFonts w:eastAsia="Times New Roman"/>
          <w:color w:val="44546A" w:themeColor="text2"/>
          <w:sz w:val="14"/>
          <w:szCs w:val="14"/>
        </w:rPr>
        <w:t xml:space="preserve">  </w:t>
      </w:r>
      <w:r>
        <w:rPr>
          <w:rFonts w:eastAsia="Times New Roman"/>
          <w:color w:val="44546A" w:themeColor="text2"/>
          <w:sz w:val="14"/>
          <w:szCs w:val="14"/>
        </w:rPr>
        <w:tab/>
      </w:r>
      <w:r>
        <w:rPr>
          <w:rFonts w:eastAsia="Times New Roman"/>
          <w:color w:val="44546A" w:themeColor="text2"/>
          <w:sz w:val="24"/>
          <w:szCs w:val="24"/>
        </w:rPr>
        <w:t>Ley 9/2017 de 8 de Noviembre, Contratos del Sector Público.</w:t>
      </w:r>
    </w:p>
    <w:p w14:paraId="4B13E0D1" w14:textId="77777777" w:rsidR="008518FF" w:rsidRDefault="008518FF" w:rsidP="008518FF">
      <w:pPr>
        <w:spacing w:before="240" w:after="240" w:line="240" w:lineRule="auto"/>
        <w:ind w:hanging="360"/>
        <w:jc w:val="both"/>
        <w:rPr>
          <w:rFonts w:eastAsia="Times New Roman"/>
          <w:color w:val="44546A" w:themeColor="text2"/>
          <w:sz w:val="24"/>
          <w:szCs w:val="24"/>
        </w:rPr>
      </w:pPr>
      <w:r>
        <w:rPr>
          <w:rFonts w:eastAsia="Times New Roman"/>
          <w:color w:val="44546A" w:themeColor="text2"/>
          <w:sz w:val="24"/>
          <w:szCs w:val="24"/>
        </w:rPr>
        <w:t>–</w:t>
      </w:r>
      <w:r>
        <w:rPr>
          <w:rFonts w:eastAsia="Times New Roman"/>
          <w:color w:val="44546A" w:themeColor="text2"/>
          <w:sz w:val="14"/>
          <w:szCs w:val="14"/>
        </w:rPr>
        <w:t xml:space="preserve">  </w:t>
      </w:r>
      <w:r>
        <w:rPr>
          <w:rFonts w:eastAsia="Times New Roman"/>
          <w:color w:val="44546A" w:themeColor="text2"/>
          <w:sz w:val="14"/>
          <w:szCs w:val="14"/>
        </w:rPr>
        <w:tab/>
      </w:r>
      <w:r>
        <w:rPr>
          <w:rFonts w:eastAsia="Times New Roman"/>
          <w:color w:val="44546A" w:themeColor="text2"/>
          <w:sz w:val="24"/>
          <w:szCs w:val="24"/>
        </w:rPr>
        <w:t>Ley 3/2004 de 29 de diciembre, contra la morosidad en las operaciones comerciales.</w:t>
      </w:r>
    </w:p>
    <w:p w14:paraId="54A47DAD" w14:textId="77777777" w:rsidR="008518FF" w:rsidRDefault="008518FF" w:rsidP="008518FF">
      <w:pPr>
        <w:spacing w:line="240" w:lineRule="auto"/>
        <w:rPr>
          <w:rFonts w:eastAsia="Times New Roman"/>
          <w:color w:val="44546A" w:themeColor="text2"/>
          <w:sz w:val="24"/>
          <w:szCs w:val="24"/>
        </w:rPr>
      </w:pPr>
    </w:p>
    <w:p w14:paraId="45764830" w14:textId="77777777" w:rsidR="008518FF" w:rsidRDefault="008518FF" w:rsidP="008518FF">
      <w:pPr>
        <w:spacing w:before="240" w:after="240" w:line="240" w:lineRule="auto"/>
        <w:jc w:val="both"/>
        <w:rPr>
          <w:rFonts w:eastAsia="Times New Roman"/>
          <w:color w:val="44546A" w:themeColor="text2"/>
          <w:sz w:val="24"/>
          <w:szCs w:val="24"/>
        </w:rPr>
      </w:pPr>
      <w:r>
        <w:rPr>
          <w:rFonts w:eastAsia="Times New Roman"/>
          <w:b/>
          <w:bCs/>
          <w:color w:val="44546A" w:themeColor="text2"/>
          <w:sz w:val="24"/>
          <w:szCs w:val="24"/>
        </w:rPr>
        <w:t>¿Quiénes somos?</w:t>
      </w:r>
    </w:p>
    <w:p w14:paraId="65BC3A51" w14:textId="6C8C874A" w:rsidR="008518FF" w:rsidRDefault="008518FF" w:rsidP="008518FF">
      <w:pPr>
        <w:spacing w:before="240" w:after="240" w:line="240" w:lineRule="auto"/>
        <w:jc w:val="both"/>
        <w:rPr>
          <w:rFonts w:eastAsia="Times New Roman"/>
          <w:color w:val="44546A" w:themeColor="text2"/>
          <w:sz w:val="24"/>
          <w:szCs w:val="24"/>
        </w:rPr>
      </w:pPr>
      <w:proofErr w:type="spellStart"/>
      <w:r>
        <w:rPr>
          <w:rFonts w:eastAsia="Times New Roman"/>
          <w:color w:val="44546A" w:themeColor="text2"/>
          <w:sz w:val="24"/>
          <w:szCs w:val="24"/>
        </w:rPr>
        <w:t>Ibecon</w:t>
      </w:r>
      <w:proofErr w:type="spellEnd"/>
      <w:r>
        <w:rPr>
          <w:rFonts w:eastAsia="Times New Roman"/>
          <w:color w:val="44546A" w:themeColor="text2"/>
          <w:sz w:val="24"/>
          <w:szCs w:val="24"/>
        </w:rPr>
        <w:t xml:space="preserve"> 2003 S.L. nació con la finalidad de integrar a importantes instituciones educativas bajo unos objetivos comunes y compartidos: desarrollar el conocimiento, impulsar a los profesionales en un entorno adaptado a las nuevas tecnologías y perfeccionar las competencias a través de una metodología innovadora. </w:t>
      </w:r>
    </w:p>
    <w:p w14:paraId="01163050" w14:textId="77777777" w:rsidR="008518FF" w:rsidRDefault="008518FF" w:rsidP="008518FF">
      <w:pPr>
        <w:spacing w:before="240" w:after="240" w:line="240" w:lineRule="auto"/>
        <w:jc w:val="both"/>
        <w:rPr>
          <w:rFonts w:eastAsia="Times New Roman"/>
          <w:color w:val="44546A" w:themeColor="text2"/>
          <w:sz w:val="24"/>
          <w:szCs w:val="24"/>
        </w:rPr>
      </w:pPr>
      <w:r>
        <w:rPr>
          <w:rFonts w:eastAsia="Times New Roman"/>
          <w:b/>
          <w:bCs/>
          <w:color w:val="44546A" w:themeColor="text2"/>
          <w:sz w:val="24"/>
          <w:szCs w:val="24"/>
        </w:rPr>
        <w:t>Nuestra misión</w:t>
      </w:r>
    </w:p>
    <w:p w14:paraId="4B481C58" w14:textId="77777777" w:rsidR="008518FF" w:rsidRDefault="008518FF" w:rsidP="008518FF">
      <w:pPr>
        <w:spacing w:before="240" w:after="240" w:line="240" w:lineRule="auto"/>
        <w:jc w:val="both"/>
        <w:rPr>
          <w:rFonts w:eastAsia="Times New Roman"/>
          <w:color w:val="44546A" w:themeColor="text2"/>
          <w:sz w:val="24"/>
          <w:szCs w:val="24"/>
        </w:rPr>
      </w:pPr>
      <w:r>
        <w:rPr>
          <w:rFonts w:eastAsia="Times New Roman"/>
          <w:color w:val="44546A" w:themeColor="text2"/>
          <w:sz w:val="24"/>
          <w:szCs w:val="24"/>
        </w:rPr>
        <w:t>Nuestra misión es ofrecer a empresas y particulares una formación de calidad, para que potencien su talento y mejoren sus competencias profesionales, adaptándose a las exigencias del mundo actual. </w:t>
      </w:r>
    </w:p>
    <w:p w14:paraId="2874270D" w14:textId="77777777" w:rsidR="008518FF" w:rsidRDefault="008518FF" w:rsidP="008518FF">
      <w:pPr>
        <w:spacing w:before="240" w:after="240" w:line="240" w:lineRule="auto"/>
        <w:jc w:val="both"/>
        <w:rPr>
          <w:rFonts w:eastAsia="Times New Roman"/>
          <w:color w:val="44546A" w:themeColor="text2"/>
          <w:sz w:val="24"/>
          <w:szCs w:val="24"/>
        </w:rPr>
      </w:pPr>
      <w:r>
        <w:rPr>
          <w:rFonts w:eastAsia="Times New Roman"/>
          <w:b/>
          <w:bCs/>
          <w:color w:val="44546A" w:themeColor="text2"/>
          <w:sz w:val="24"/>
          <w:szCs w:val="24"/>
        </w:rPr>
        <w:t>Visión</w:t>
      </w:r>
    </w:p>
    <w:p w14:paraId="0B0ADCD1" w14:textId="77777777" w:rsidR="008518FF" w:rsidRDefault="008518FF" w:rsidP="008518FF">
      <w:pPr>
        <w:spacing w:before="240" w:after="240" w:line="240" w:lineRule="auto"/>
        <w:jc w:val="both"/>
        <w:rPr>
          <w:rFonts w:eastAsia="Times New Roman"/>
          <w:color w:val="44546A" w:themeColor="text2"/>
          <w:sz w:val="24"/>
          <w:szCs w:val="24"/>
        </w:rPr>
      </w:pPr>
      <w:r>
        <w:rPr>
          <w:rFonts w:eastAsia="Times New Roman"/>
          <w:color w:val="44546A" w:themeColor="text2"/>
          <w:sz w:val="24"/>
          <w:szCs w:val="24"/>
        </w:rPr>
        <w:t>Nuestra visión es ser modelo de referencia en excelencia formativa, y constituirnos como líderes en el sector de la formación para empresas, organismos, instituciones y particulares a nivel nacional.</w:t>
      </w:r>
    </w:p>
    <w:p w14:paraId="3AC5EF28" w14:textId="77777777" w:rsidR="008518FF" w:rsidRDefault="008518FF" w:rsidP="008518FF">
      <w:pPr>
        <w:spacing w:after="160" w:line="256" w:lineRule="auto"/>
        <w:rPr>
          <w:rFonts w:eastAsia="Times New Roman"/>
          <w:color w:val="44546A" w:themeColor="text2"/>
          <w:sz w:val="24"/>
          <w:szCs w:val="24"/>
        </w:rPr>
      </w:pPr>
      <w:r>
        <w:rPr>
          <w:rFonts w:eastAsia="Times New Roman"/>
          <w:color w:val="44546A" w:themeColor="text2"/>
          <w:sz w:val="24"/>
          <w:szCs w:val="24"/>
        </w:rPr>
        <w:br w:type="page"/>
      </w:r>
    </w:p>
    <w:p w14:paraId="567491F8" w14:textId="77777777" w:rsidR="008518FF" w:rsidRDefault="008518FF" w:rsidP="008518FF">
      <w:pPr>
        <w:spacing w:after="240" w:line="240" w:lineRule="auto"/>
        <w:rPr>
          <w:rFonts w:eastAsia="Times New Roman"/>
          <w:color w:val="44546A" w:themeColor="text2"/>
          <w:sz w:val="24"/>
          <w:szCs w:val="24"/>
        </w:rPr>
      </w:pPr>
    </w:p>
    <w:p w14:paraId="5110B906" w14:textId="77777777" w:rsidR="008518FF" w:rsidRDefault="008518FF" w:rsidP="008518FF">
      <w:pPr>
        <w:spacing w:line="240" w:lineRule="auto"/>
        <w:jc w:val="center"/>
        <w:rPr>
          <w:rFonts w:eastAsia="Times New Roman"/>
          <w:color w:val="44546A" w:themeColor="text2"/>
          <w:sz w:val="24"/>
          <w:szCs w:val="24"/>
        </w:rPr>
      </w:pPr>
      <w:r>
        <w:rPr>
          <w:rFonts w:eastAsia="Times New Roman"/>
          <w:b/>
          <w:bCs/>
          <w:color w:val="44546A" w:themeColor="text2"/>
          <w:sz w:val="34"/>
          <w:szCs w:val="34"/>
        </w:rPr>
        <w:t>Índice de transparencia</w:t>
      </w:r>
    </w:p>
    <w:p w14:paraId="09970488" w14:textId="77777777" w:rsidR="008518FF" w:rsidRDefault="008518FF" w:rsidP="008518FF">
      <w:pPr>
        <w:spacing w:line="240" w:lineRule="auto"/>
        <w:rPr>
          <w:rFonts w:eastAsia="Times New Roman"/>
          <w:color w:val="44546A" w:themeColor="text2"/>
          <w:sz w:val="24"/>
          <w:szCs w:val="24"/>
        </w:rPr>
      </w:pPr>
      <w:r>
        <w:rPr>
          <w:rFonts w:eastAsia="Times New Roman"/>
          <w:color w:val="44546A" w:themeColor="text2"/>
          <w:sz w:val="24"/>
          <w:szCs w:val="24"/>
        </w:rPr>
        <w:br/>
      </w:r>
    </w:p>
    <w:p w14:paraId="019597B9" w14:textId="77777777" w:rsidR="008518FF" w:rsidRDefault="008518FF" w:rsidP="008518FF">
      <w:pPr>
        <w:numPr>
          <w:ilvl w:val="0"/>
          <w:numId w:val="5"/>
        </w:numPr>
        <w:spacing w:line="240" w:lineRule="auto"/>
        <w:textAlignment w:val="baseline"/>
        <w:rPr>
          <w:rFonts w:eastAsia="Times New Roman"/>
          <w:color w:val="44546A" w:themeColor="text2"/>
          <w:sz w:val="24"/>
          <w:szCs w:val="24"/>
        </w:rPr>
      </w:pPr>
      <w:r>
        <w:rPr>
          <w:rFonts w:eastAsia="Times New Roman"/>
          <w:color w:val="44546A" w:themeColor="text2"/>
          <w:sz w:val="24"/>
          <w:szCs w:val="24"/>
        </w:rPr>
        <w:t>ESTRUCTURA ORGANIZATIVA</w:t>
      </w:r>
    </w:p>
    <w:p w14:paraId="62EA3E2A" w14:textId="77777777" w:rsidR="008518FF" w:rsidRDefault="008518FF" w:rsidP="008518FF">
      <w:pPr>
        <w:pStyle w:val="Prrafodelista"/>
        <w:spacing w:line="240" w:lineRule="auto"/>
        <w:rPr>
          <w:rFonts w:eastAsia="Times New Roman"/>
          <w:color w:val="44546A" w:themeColor="text2"/>
          <w:sz w:val="24"/>
          <w:szCs w:val="24"/>
        </w:rPr>
      </w:pPr>
      <w:r>
        <w:rPr>
          <w:rFonts w:eastAsia="Times New Roman"/>
          <w:color w:val="44546A" w:themeColor="text2"/>
          <w:sz w:val="24"/>
          <w:szCs w:val="24"/>
        </w:rPr>
        <w:br/>
      </w:r>
    </w:p>
    <w:p w14:paraId="4F5FC6AC" w14:textId="77777777" w:rsidR="008518FF" w:rsidRDefault="008518FF" w:rsidP="008518FF">
      <w:pPr>
        <w:numPr>
          <w:ilvl w:val="0"/>
          <w:numId w:val="5"/>
        </w:numPr>
        <w:spacing w:line="240" w:lineRule="auto"/>
        <w:textAlignment w:val="baseline"/>
        <w:rPr>
          <w:rFonts w:eastAsia="Times New Roman"/>
          <w:color w:val="44546A" w:themeColor="text2"/>
          <w:sz w:val="24"/>
          <w:szCs w:val="24"/>
        </w:rPr>
      </w:pPr>
      <w:r>
        <w:rPr>
          <w:rFonts w:eastAsia="Times New Roman"/>
          <w:color w:val="44546A" w:themeColor="text2"/>
          <w:sz w:val="24"/>
          <w:szCs w:val="24"/>
        </w:rPr>
        <w:t>ESTRUCTURA ECONÓMICO-FINANCIERA</w:t>
      </w:r>
    </w:p>
    <w:p w14:paraId="28558BA1" w14:textId="77777777" w:rsidR="008518FF" w:rsidRDefault="008518FF" w:rsidP="008518FF">
      <w:pPr>
        <w:pStyle w:val="Prrafodelista"/>
        <w:spacing w:line="240" w:lineRule="auto"/>
        <w:rPr>
          <w:rFonts w:eastAsia="Times New Roman"/>
          <w:color w:val="44546A" w:themeColor="text2"/>
          <w:sz w:val="24"/>
          <w:szCs w:val="24"/>
        </w:rPr>
      </w:pPr>
      <w:r>
        <w:rPr>
          <w:rFonts w:eastAsia="Times New Roman"/>
          <w:color w:val="44546A" w:themeColor="text2"/>
          <w:sz w:val="24"/>
          <w:szCs w:val="24"/>
        </w:rPr>
        <w:br/>
      </w:r>
    </w:p>
    <w:p w14:paraId="74DA5C7A" w14:textId="77777777" w:rsidR="008518FF" w:rsidRDefault="008518FF" w:rsidP="008518FF">
      <w:pPr>
        <w:numPr>
          <w:ilvl w:val="0"/>
          <w:numId w:val="5"/>
        </w:numPr>
        <w:spacing w:line="240" w:lineRule="auto"/>
        <w:textAlignment w:val="baseline"/>
        <w:rPr>
          <w:rFonts w:eastAsia="Times New Roman"/>
          <w:color w:val="44546A" w:themeColor="text2"/>
          <w:sz w:val="24"/>
          <w:szCs w:val="24"/>
        </w:rPr>
      </w:pPr>
      <w:r>
        <w:rPr>
          <w:rFonts w:eastAsia="Times New Roman"/>
          <w:color w:val="44546A" w:themeColor="text2"/>
          <w:sz w:val="24"/>
          <w:szCs w:val="24"/>
        </w:rPr>
        <w:t>CONTRATOS</w:t>
      </w:r>
    </w:p>
    <w:p w14:paraId="781AAEFA" w14:textId="77777777" w:rsidR="008518FF" w:rsidRDefault="008518FF" w:rsidP="008518FF">
      <w:pPr>
        <w:pStyle w:val="Prrafodelista"/>
        <w:spacing w:line="240" w:lineRule="auto"/>
        <w:rPr>
          <w:rFonts w:eastAsia="Times New Roman"/>
          <w:color w:val="44546A" w:themeColor="text2"/>
          <w:sz w:val="24"/>
          <w:szCs w:val="24"/>
        </w:rPr>
      </w:pPr>
      <w:r>
        <w:rPr>
          <w:rFonts w:eastAsia="Times New Roman"/>
          <w:color w:val="44546A" w:themeColor="text2"/>
          <w:sz w:val="24"/>
          <w:szCs w:val="24"/>
        </w:rPr>
        <w:br/>
      </w:r>
    </w:p>
    <w:p w14:paraId="32B793FF" w14:textId="77777777" w:rsidR="008518FF" w:rsidRDefault="008518FF" w:rsidP="008518FF">
      <w:pPr>
        <w:numPr>
          <w:ilvl w:val="0"/>
          <w:numId w:val="5"/>
        </w:numPr>
        <w:spacing w:line="240" w:lineRule="auto"/>
        <w:textAlignment w:val="baseline"/>
        <w:rPr>
          <w:rFonts w:eastAsia="Times New Roman"/>
          <w:color w:val="44546A" w:themeColor="text2"/>
          <w:sz w:val="24"/>
          <w:szCs w:val="24"/>
        </w:rPr>
      </w:pPr>
      <w:r>
        <w:rPr>
          <w:rFonts w:eastAsia="Times New Roman"/>
          <w:color w:val="44546A" w:themeColor="text2"/>
          <w:sz w:val="24"/>
          <w:szCs w:val="24"/>
        </w:rPr>
        <w:t>CONVENIOS Y ENCOMIENDAS DE GESTIÓN</w:t>
      </w:r>
    </w:p>
    <w:p w14:paraId="47B57C1F" w14:textId="77777777" w:rsidR="008518FF" w:rsidRDefault="008518FF" w:rsidP="008518FF">
      <w:pPr>
        <w:pStyle w:val="Prrafodelista"/>
        <w:spacing w:line="240" w:lineRule="auto"/>
        <w:rPr>
          <w:rFonts w:eastAsia="Times New Roman"/>
          <w:color w:val="44546A" w:themeColor="text2"/>
          <w:sz w:val="24"/>
          <w:szCs w:val="24"/>
        </w:rPr>
      </w:pPr>
      <w:r>
        <w:rPr>
          <w:rFonts w:eastAsia="Times New Roman"/>
          <w:color w:val="44546A" w:themeColor="text2"/>
          <w:sz w:val="24"/>
          <w:szCs w:val="24"/>
        </w:rPr>
        <w:br/>
      </w:r>
    </w:p>
    <w:p w14:paraId="18678CFA" w14:textId="77777777" w:rsidR="008518FF" w:rsidRDefault="008518FF" w:rsidP="008518FF">
      <w:pPr>
        <w:numPr>
          <w:ilvl w:val="0"/>
          <w:numId w:val="5"/>
        </w:numPr>
        <w:spacing w:line="240" w:lineRule="auto"/>
        <w:textAlignment w:val="baseline"/>
        <w:rPr>
          <w:rFonts w:eastAsia="Times New Roman"/>
          <w:color w:val="44546A" w:themeColor="text2"/>
          <w:sz w:val="24"/>
          <w:szCs w:val="24"/>
        </w:rPr>
      </w:pPr>
      <w:r>
        <w:rPr>
          <w:rFonts w:eastAsia="Times New Roman"/>
          <w:color w:val="44546A" w:themeColor="text2"/>
          <w:sz w:val="24"/>
          <w:szCs w:val="24"/>
        </w:rPr>
        <w:t>AYUDAS Y SUBVENCIONES</w:t>
      </w:r>
    </w:p>
    <w:p w14:paraId="579812E2" w14:textId="77777777" w:rsidR="008518FF" w:rsidRDefault="008518FF" w:rsidP="008518FF">
      <w:pPr>
        <w:spacing w:after="160" w:line="256" w:lineRule="auto"/>
        <w:rPr>
          <w:rFonts w:eastAsia="Times New Roman"/>
          <w:color w:val="44546A" w:themeColor="text2"/>
          <w:sz w:val="24"/>
          <w:szCs w:val="24"/>
        </w:rPr>
      </w:pPr>
      <w:r>
        <w:rPr>
          <w:rFonts w:eastAsia="Times New Roman"/>
          <w:color w:val="44546A" w:themeColor="text2"/>
          <w:sz w:val="24"/>
          <w:szCs w:val="24"/>
        </w:rPr>
        <w:br w:type="page"/>
      </w:r>
    </w:p>
    <w:p w14:paraId="00194D8F" w14:textId="77777777" w:rsidR="008518FF" w:rsidRDefault="008518FF" w:rsidP="008518FF">
      <w:pPr>
        <w:spacing w:line="240" w:lineRule="auto"/>
        <w:ind w:left="720"/>
        <w:textAlignment w:val="baseline"/>
        <w:rPr>
          <w:rFonts w:eastAsia="Times New Roman"/>
          <w:color w:val="44546A" w:themeColor="text2"/>
          <w:sz w:val="24"/>
          <w:szCs w:val="24"/>
        </w:rPr>
      </w:pPr>
    </w:p>
    <w:p w14:paraId="65C1182D" w14:textId="77777777" w:rsidR="008518FF" w:rsidRDefault="008518FF" w:rsidP="008518FF">
      <w:pPr>
        <w:pStyle w:val="Prrafodelista"/>
        <w:numPr>
          <w:ilvl w:val="0"/>
          <w:numId w:val="6"/>
        </w:numPr>
        <w:spacing w:line="240" w:lineRule="auto"/>
        <w:textAlignment w:val="baseline"/>
        <w:rPr>
          <w:rFonts w:eastAsia="Times New Roman"/>
          <w:b/>
          <w:color w:val="44546A" w:themeColor="text2"/>
          <w:sz w:val="24"/>
          <w:szCs w:val="24"/>
        </w:rPr>
      </w:pPr>
      <w:r>
        <w:rPr>
          <w:rFonts w:eastAsia="Times New Roman"/>
          <w:b/>
          <w:color w:val="44546A" w:themeColor="text2"/>
          <w:sz w:val="24"/>
          <w:szCs w:val="24"/>
        </w:rPr>
        <w:t>ESTRUCTURA ORGANIZATIVA</w:t>
      </w:r>
    </w:p>
    <w:p w14:paraId="3BC95D27" w14:textId="77777777" w:rsidR="008518FF" w:rsidRDefault="008518FF" w:rsidP="008518FF">
      <w:pPr>
        <w:spacing w:line="240" w:lineRule="auto"/>
        <w:textAlignment w:val="baseline"/>
        <w:rPr>
          <w:rFonts w:eastAsia="Times New Roman"/>
          <w:b/>
          <w:color w:val="44546A" w:themeColor="text2"/>
          <w:sz w:val="24"/>
          <w:szCs w:val="24"/>
        </w:rPr>
      </w:pPr>
    </w:p>
    <w:p w14:paraId="37076A60" w14:textId="62CC9FEB" w:rsidR="008518FF" w:rsidRDefault="008518FF" w:rsidP="008518FF">
      <w:pPr>
        <w:spacing w:line="240" w:lineRule="auto"/>
        <w:rPr>
          <w:rFonts w:eastAsia="Times New Roman"/>
          <w:color w:val="44546A" w:themeColor="text2"/>
          <w:sz w:val="24"/>
          <w:szCs w:val="24"/>
        </w:rPr>
      </w:pPr>
      <w:r>
        <w:rPr>
          <w:rFonts w:eastAsia="Times New Roman"/>
          <w:color w:val="44546A" w:themeColor="text2"/>
          <w:sz w:val="24"/>
          <w:szCs w:val="24"/>
        </w:rPr>
        <w:t xml:space="preserve"> Organigrama de </w:t>
      </w:r>
      <w:proofErr w:type="spellStart"/>
      <w:r>
        <w:rPr>
          <w:rFonts w:eastAsia="Times New Roman"/>
          <w:color w:val="44546A" w:themeColor="text2"/>
          <w:sz w:val="24"/>
          <w:szCs w:val="24"/>
        </w:rPr>
        <w:t>Ibecon</w:t>
      </w:r>
      <w:proofErr w:type="spellEnd"/>
      <w:r>
        <w:rPr>
          <w:rFonts w:eastAsia="Times New Roman"/>
          <w:color w:val="44546A" w:themeColor="text2"/>
          <w:sz w:val="24"/>
          <w:szCs w:val="24"/>
        </w:rPr>
        <w:t xml:space="preserve"> 2003 S.L.</w:t>
      </w:r>
    </w:p>
    <w:p w14:paraId="1AE285C4" w14:textId="77777777" w:rsidR="008518FF" w:rsidRDefault="008518FF" w:rsidP="008518FF">
      <w:pPr>
        <w:spacing w:line="240" w:lineRule="auto"/>
        <w:rPr>
          <w:rFonts w:eastAsia="Times New Roman"/>
          <w:color w:val="44546A" w:themeColor="text2"/>
          <w:sz w:val="24"/>
          <w:szCs w:val="24"/>
        </w:rPr>
      </w:pPr>
    </w:p>
    <w:p w14:paraId="6DB7C258" w14:textId="347E6E51" w:rsidR="008518FF" w:rsidRDefault="008518FF" w:rsidP="008518FF">
      <w:pPr>
        <w:spacing w:after="160" w:line="259" w:lineRule="auto"/>
        <w:rPr>
          <w:rFonts w:eastAsia="Times New Roman"/>
          <w:color w:val="44546A" w:themeColor="text2"/>
          <w:sz w:val="24"/>
          <w:szCs w:val="24"/>
        </w:rPr>
      </w:pPr>
      <w:r>
        <w:rPr>
          <w:rFonts w:eastAsia="Times New Roman"/>
          <w:noProof/>
          <w:color w:val="44546A" w:themeColor="text2"/>
          <w:sz w:val="24"/>
          <w:szCs w:val="24"/>
          <w:lang w:val="es-ES"/>
        </w:rPr>
        <w:drawing>
          <wp:inline distT="0" distB="0" distL="0" distR="0" wp14:anchorId="715AE028" wp14:editId="0205282A">
            <wp:extent cx="5733415" cy="4329430"/>
            <wp:effectExtent l="0" t="0" r="63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rganigrama Ibeco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432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color w:val="44546A" w:themeColor="text2"/>
          <w:sz w:val="24"/>
          <w:szCs w:val="24"/>
        </w:rPr>
        <w:br w:type="page"/>
      </w:r>
    </w:p>
    <w:p w14:paraId="7B17BBE3" w14:textId="77777777" w:rsidR="008518FF" w:rsidRDefault="008518FF" w:rsidP="00963433">
      <w:pPr>
        <w:rPr>
          <w:b/>
          <w:bCs/>
          <w:color w:val="44546A"/>
          <w:sz w:val="24"/>
          <w:szCs w:val="24"/>
        </w:rPr>
      </w:pPr>
    </w:p>
    <w:p w14:paraId="2446BA69" w14:textId="25A61A5F" w:rsidR="00963433" w:rsidRDefault="00963433" w:rsidP="008518FF">
      <w:pPr>
        <w:pStyle w:val="Prrafodelista"/>
        <w:numPr>
          <w:ilvl w:val="0"/>
          <w:numId w:val="6"/>
        </w:numPr>
        <w:rPr>
          <w:b/>
          <w:bCs/>
          <w:color w:val="44546A"/>
          <w:sz w:val="24"/>
          <w:szCs w:val="24"/>
        </w:rPr>
      </w:pPr>
      <w:r w:rsidRPr="008518FF">
        <w:rPr>
          <w:b/>
          <w:bCs/>
          <w:color w:val="44546A"/>
          <w:sz w:val="24"/>
          <w:szCs w:val="24"/>
        </w:rPr>
        <w:t>ESTRUCTURA ECONÓMICO-FINANCIERA</w:t>
      </w:r>
    </w:p>
    <w:p w14:paraId="568A9819" w14:textId="77777777" w:rsidR="00D91F76" w:rsidRPr="008518FF" w:rsidRDefault="00D91F76" w:rsidP="00D91F76">
      <w:pPr>
        <w:pStyle w:val="Prrafodelista"/>
        <w:rPr>
          <w:b/>
          <w:bCs/>
          <w:color w:val="44546A"/>
          <w:sz w:val="24"/>
          <w:szCs w:val="24"/>
        </w:rPr>
      </w:pPr>
    </w:p>
    <w:p w14:paraId="486A07EA" w14:textId="760B3DD9" w:rsidR="00963433" w:rsidRDefault="00963433" w:rsidP="00963433">
      <w:pPr>
        <w:rPr>
          <w:color w:val="44546A"/>
          <w:sz w:val="24"/>
          <w:szCs w:val="24"/>
        </w:rPr>
      </w:pPr>
      <w:r>
        <w:rPr>
          <w:b/>
          <w:bCs/>
          <w:color w:val="44546A"/>
          <w:sz w:val="24"/>
          <w:szCs w:val="24"/>
        </w:rPr>
        <w:t>Año:</w:t>
      </w:r>
      <w:r>
        <w:rPr>
          <w:color w:val="44546A"/>
          <w:sz w:val="24"/>
          <w:szCs w:val="24"/>
        </w:rPr>
        <w:t xml:space="preserve"> 2024</w:t>
      </w:r>
    </w:p>
    <w:p w14:paraId="26BE7792" w14:textId="7418138C" w:rsidR="00963433" w:rsidRDefault="00963433" w:rsidP="00963433">
      <w:pPr>
        <w:rPr>
          <w:color w:val="44546A"/>
          <w:sz w:val="24"/>
          <w:szCs w:val="24"/>
        </w:rPr>
      </w:pPr>
      <w:r>
        <w:rPr>
          <w:b/>
          <w:bCs/>
          <w:color w:val="44546A"/>
          <w:sz w:val="24"/>
          <w:szCs w:val="24"/>
        </w:rPr>
        <w:t>Plantilla media trabajadores:</w:t>
      </w:r>
      <w:r>
        <w:rPr>
          <w:color w:val="44546A"/>
          <w:sz w:val="24"/>
          <w:szCs w:val="24"/>
        </w:rPr>
        <w:t xml:space="preserve"> </w:t>
      </w:r>
      <w:r w:rsidR="00E22811">
        <w:rPr>
          <w:color w:val="44546A"/>
          <w:sz w:val="24"/>
          <w:szCs w:val="24"/>
        </w:rPr>
        <w:t>371</w:t>
      </w:r>
    </w:p>
    <w:p w14:paraId="73FDF487" w14:textId="77777777" w:rsidR="00963433" w:rsidRDefault="00963433" w:rsidP="00963433">
      <w:pPr>
        <w:rPr>
          <w:color w:val="44546A"/>
          <w:sz w:val="24"/>
          <w:szCs w:val="24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963433" w14:paraId="7B502D6B" w14:textId="77777777" w:rsidTr="00D91F76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ACCBC" w14:textId="77777777" w:rsidR="00963433" w:rsidRDefault="00963433" w:rsidP="00AD4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44546A"/>
                <w:sz w:val="24"/>
                <w:szCs w:val="24"/>
              </w:rPr>
            </w:pPr>
            <w:r>
              <w:rPr>
                <w:b/>
                <w:bCs/>
                <w:color w:val="44546A"/>
                <w:sz w:val="24"/>
                <w:szCs w:val="24"/>
              </w:rPr>
              <w:t>Descripción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D4580" w14:textId="77777777" w:rsidR="00963433" w:rsidRDefault="00963433" w:rsidP="00AD4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44546A"/>
                <w:sz w:val="24"/>
                <w:szCs w:val="24"/>
              </w:rPr>
            </w:pPr>
            <w:r>
              <w:rPr>
                <w:b/>
                <w:bCs/>
                <w:color w:val="44546A"/>
                <w:sz w:val="24"/>
                <w:szCs w:val="24"/>
              </w:rPr>
              <w:t>Suma</w:t>
            </w:r>
          </w:p>
        </w:tc>
      </w:tr>
      <w:tr w:rsidR="00963433" w14:paraId="2B6BF267" w14:textId="77777777" w:rsidTr="00D91F76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4DB1" w14:textId="77777777" w:rsidR="00963433" w:rsidRDefault="00963433" w:rsidP="00AD4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Volumen neto de cifra de negocios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067D3" w14:textId="5F9377CE" w:rsidR="00963433" w:rsidRDefault="00E22811" w:rsidP="00AD4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1.417.126,56</w:t>
            </w:r>
          </w:p>
        </w:tc>
      </w:tr>
      <w:tr w:rsidR="00963433" w14:paraId="722F7569" w14:textId="77777777" w:rsidTr="00D91F76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F30B5" w14:textId="77777777" w:rsidR="00963433" w:rsidRDefault="00963433" w:rsidP="00AD4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Otros ingresos de exportación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C810B" w14:textId="1F67EA93" w:rsidR="00963433" w:rsidRDefault="00E22811" w:rsidP="00AD4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5.110.074,23</w:t>
            </w:r>
          </w:p>
        </w:tc>
      </w:tr>
      <w:tr w:rsidR="00512CB2" w14:paraId="4A4DCFC4" w14:textId="77777777" w:rsidTr="00D91F76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B4C32" w14:textId="77867683" w:rsidR="00512CB2" w:rsidRDefault="00512CB2" w:rsidP="00AD4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TOTAL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6D608" w14:textId="7C7D66EA" w:rsidR="00512CB2" w:rsidRDefault="00512CB2" w:rsidP="00AD4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6.627.200,79</w:t>
            </w:r>
          </w:p>
        </w:tc>
      </w:tr>
      <w:tr w:rsidR="00963433" w14:paraId="60D39256" w14:textId="77777777" w:rsidTr="00D91F76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E77CD" w14:textId="77777777" w:rsidR="00963433" w:rsidRDefault="00963433" w:rsidP="00AD4B41">
            <w:pPr>
              <w:widowControl w:val="0"/>
              <w:spacing w:line="240" w:lineRule="auto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Activo circulante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6C72B" w14:textId="29982EB5" w:rsidR="00963433" w:rsidRDefault="00E22811" w:rsidP="00AD4B41">
            <w:pPr>
              <w:widowControl w:val="0"/>
              <w:spacing w:line="240" w:lineRule="auto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12.743.998,09</w:t>
            </w:r>
          </w:p>
        </w:tc>
      </w:tr>
      <w:tr w:rsidR="00963433" w14:paraId="5DB820C0" w14:textId="77777777" w:rsidTr="00D91F76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1E5A7" w14:textId="77777777" w:rsidR="00963433" w:rsidRDefault="00963433" w:rsidP="00AD4B41">
            <w:pPr>
              <w:widowControl w:val="0"/>
              <w:spacing w:line="240" w:lineRule="auto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Activo no corriente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40D88" w14:textId="0C556760" w:rsidR="00963433" w:rsidRDefault="00E22811" w:rsidP="00AD4B41">
            <w:pPr>
              <w:widowControl w:val="0"/>
              <w:spacing w:line="240" w:lineRule="auto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2.204.530,92</w:t>
            </w:r>
          </w:p>
        </w:tc>
      </w:tr>
      <w:tr w:rsidR="00963433" w14:paraId="3ADBBB2A" w14:textId="77777777" w:rsidTr="00D91F76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D59D0" w14:textId="77777777" w:rsidR="00963433" w:rsidRDefault="00963433" w:rsidP="00AD4B41">
            <w:pPr>
              <w:widowControl w:val="0"/>
              <w:spacing w:line="240" w:lineRule="auto"/>
              <w:rPr>
                <w:b/>
                <w:bCs/>
                <w:color w:val="44546A"/>
                <w:sz w:val="24"/>
                <w:szCs w:val="24"/>
              </w:rPr>
            </w:pPr>
            <w:r>
              <w:rPr>
                <w:b/>
                <w:bCs/>
                <w:color w:val="44546A"/>
                <w:sz w:val="24"/>
                <w:szCs w:val="24"/>
              </w:rPr>
              <w:t>Total activo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B6844" w14:textId="2DA06464" w:rsidR="00963433" w:rsidRDefault="00E22811" w:rsidP="00AD4B41">
            <w:pPr>
              <w:widowControl w:val="0"/>
              <w:spacing w:line="240" w:lineRule="auto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14.948.529,01</w:t>
            </w:r>
          </w:p>
        </w:tc>
      </w:tr>
      <w:tr w:rsidR="00963433" w14:paraId="2B4857A1" w14:textId="77777777" w:rsidTr="00D91F76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AA40E" w14:textId="77777777" w:rsidR="00963433" w:rsidRDefault="00963433" w:rsidP="00AD4B41">
            <w:pPr>
              <w:widowControl w:val="0"/>
              <w:spacing w:line="240" w:lineRule="auto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Pasivo circulante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468E0" w14:textId="10606BF4" w:rsidR="00963433" w:rsidRDefault="00F25779" w:rsidP="00AD4B41">
            <w:pPr>
              <w:widowControl w:val="0"/>
              <w:spacing w:line="240" w:lineRule="auto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14.754.499,09</w:t>
            </w:r>
          </w:p>
        </w:tc>
      </w:tr>
      <w:tr w:rsidR="00963433" w14:paraId="1214E01D" w14:textId="77777777" w:rsidTr="00D91F76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697E1" w14:textId="77777777" w:rsidR="00963433" w:rsidRDefault="00963433" w:rsidP="00AD4B41">
            <w:pPr>
              <w:widowControl w:val="0"/>
              <w:spacing w:line="240" w:lineRule="auto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Pasivo no corriente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D44CA" w14:textId="5D5473C9" w:rsidR="00963433" w:rsidRDefault="00F25779" w:rsidP="00AD4B41">
            <w:pPr>
              <w:widowControl w:val="0"/>
              <w:spacing w:line="240" w:lineRule="auto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139.944,38</w:t>
            </w:r>
          </w:p>
        </w:tc>
      </w:tr>
      <w:tr w:rsidR="00963433" w14:paraId="70DAC696" w14:textId="77777777" w:rsidTr="00D91F76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66D23" w14:textId="77777777" w:rsidR="00963433" w:rsidRDefault="00963433" w:rsidP="00AD4B41">
            <w:pPr>
              <w:widowControl w:val="0"/>
              <w:spacing w:line="240" w:lineRule="auto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Neto patrimonial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59ED3" w14:textId="0369CB66" w:rsidR="00963433" w:rsidRDefault="00F25779" w:rsidP="00AD4B41">
            <w:pPr>
              <w:widowControl w:val="0"/>
              <w:spacing w:line="240" w:lineRule="auto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54.085,54</w:t>
            </w:r>
          </w:p>
        </w:tc>
      </w:tr>
      <w:tr w:rsidR="00963433" w14:paraId="360AF340" w14:textId="77777777" w:rsidTr="00D91F76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162B4" w14:textId="77777777" w:rsidR="00963433" w:rsidRDefault="00963433" w:rsidP="00AD4B41">
            <w:pPr>
              <w:widowControl w:val="0"/>
              <w:spacing w:line="240" w:lineRule="auto"/>
              <w:rPr>
                <w:b/>
                <w:bCs/>
                <w:color w:val="44546A"/>
                <w:sz w:val="24"/>
                <w:szCs w:val="24"/>
              </w:rPr>
            </w:pPr>
            <w:r>
              <w:rPr>
                <w:b/>
                <w:bCs/>
                <w:color w:val="44546A"/>
                <w:sz w:val="24"/>
                <w:szCs w:val="24"/>
              </w:rPr>
              <w:t>Total pasivo + neto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450C3" w14:textId="40C7094D" w:rsidR="00963433" w:rsidRDefault="00F25779" w:rsidP="00AD4B41">
            <w:pPr>
              <w:widowControl w:val="0"/>
              <w:spacing w:line="240" w:lineRule="auto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14.948.529,01</w:t>
            </w:r>
          </w:p>
        </w:tc>
      </w:tr>
      <w:tr w:rsidR="00963433" w14:paraId="0BFD9260" w14:textId="77777777" w:rsidTr="00D91F76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9BD83" w14:textId="77777777" w:rsidR="00963433" w:rsidRDefault="00963433" w:rsidP="00AD4B41">
            <w:pPr>
              <w:widowControl w:val="0"/>
              <w:spacing w:line="240" w:lineRule="auto"/>
              <w:rPr>
                <w:b/>
                <w:bCs/>
                <w:color w:val="44546A"/>
                <w:sz w:val="24"/>
                <w:szCs w:val="24"/>
              </w:rPr>
            </w:pPr>
            <w:r>
              <w:rPr>
                <w:b/>
                <w:bCs/>
                <w:color w:val="44546A"/>
                <w:sz w:val="24"/>
                <w:szCs w:val="24"/>
              </w:rPr>
              <w:t>Resultado después de impuestos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82D46" w14:textId="6E3892A7" w:rsidR="00963433" w:rsidRDefault="00F25779" w:rsidP="00AD4B41">
            <w:pPr>
              <w:widowControl w:val="0"/>
              <w:spacing w:line="240" w:lineRule="auto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51.866,76</w:t>
            </w:r>
          </w:p>
        </w:tc>
      </w:tr>
    </w:tbl>
    <w:p w14:paraId="664EDE17" w14:textId="05C647CB" w:rsidR="00D91F76" w:rsidRDefault="00D91F76" w:rsidP="00D91F76">
      <w:pPr>
        <w:pStyle w:val="Prrafodelista"/>
        <w:rPr>
          <w:b/>
          <w:bCs/>
          <w:color w:val="44546A"/>
          <w:sz w:val="24"/>
          <w:szCs w:val="24"/>
        </w:rPr>
      </w:pPr>
    </w:p>
    <w:p w14:paraId="0D9E1CDF" w14:textId="39824B2C" w:rsidR="00D91F76" w:rsidRPr="00D91F76" w:rsidRDefault="00D91F76" w:rsidP="00D91F76">
      <w:pPr>
        <w:spacing w:after="160" w:line="259" w:lineRule="auto"/>
        <w:rPr>
          <w:b/>
          <w:bCs/>
          <w:color w:val="44546A"/>
          <w:sz w:val="24"/>
          <w:szCs w:val="24"/>
          <w:lang w:val="es-ES"/>
        </w:rPr>
      </w:pPr>
      <w:r>
        <w:rPr>
          <w:b/>
          <w:bCs/>
          <w:color w:val="44546A"/>
          <w:sz w:val="24"/>
          <w:szCs w:val="24"/>
        </w:rPr>
        <w:br w:type="page"/>
      </w:r>
    </w:p>
    <w:p w14:paraId="07E2D9AE" w14:textId="58191BAF" w:rsidR="00963433" w:rsidRPr="008518FF" w:rsidRDefault="00963433" w:rsidP="008518FF">
      <w:pPr>
        <w:pStyle w:val="Prrafodelista"/>
        <w:numPr>
          <w:ilvl w:val="0"/>
          <w:numId w:val="6"/>
        </w:numPr>
        <w:rPr>
          <w:b/>
          <w:bCs/>
          <w:color w:val="44546A"/>
          <w:sz w:val="24"/>
          <w:szCs w:val="24"/>
        </w:rPr>
      </w:pPr>
      <w:r w:rsidRPr="008518FF">
        <w:rPr>
          <w:b/>
          <w:bCs/>
          <w:color w:val="44546A"/>
          <w:sz w:val="24"/>
          <w:szCs w:val="24"/>
        </w:rPr>
        <w:lastRenderedPageBreak/>
        <w:t>CONTRATOS</w:t>
      </w:r>
    </w:p>
    <w:p w14:paraId="24C5940C" w14:textId="77777777" w:rsidR="00963433" w:rsidRDefault="00963433" w:rsidP="00963433">
      <w:pPr>
        <w:rPr>
          <w:color w:val="44546A"/>
          <w:sz w:val="24"/>
          <w:szCs w:val="24"/>
        </w:rPr>
      </w:pPr>
    </w:p>
    <w:p w14:paraId="1C22972F" w14:textId="77777777" w:rsidR="00F306C4" w:rsidRDefault="00F306C4" w:rsidP="00F306C4">
      <w:pPr>
        <w:numPr>
          <w:ilvl w:val="0"/>
          <w:numId w:val="4"/>
        </w:numPr>
        <w:jc w:val="both"/>
        <w:rPr>
          <w:b/>
          <w:bCs/>
          <w:color w:val="44546A"/>
          <w:sz w:val="24"/>
          <w:szCs w:val="24"/>
        </w:rPr>
      </w:pPr>
      <w:r>
        <w:rPr>
          <w:b/>
          <w:bCs/>
          <w:color w:val="44546A"/>
          <w:sz w:val="24"/>
          <w:szCs w:val="24"/>
        </w:rPr>
        <w:t>Denominación:</w:t>
      </w:r>
    </w:p>
    <w:p w14:paraId="760EA456" w14:textId="77777777" w:rsidR="00F306C4" w:rsidRPr="00311782" w:rsidRDefault="00F306C4" w:rsidP="00F306C4">
      <w:pPr>
        <w:spacing w:line="240" w:lineRule="auto"/>
        <w:ind w:left="709"/>
        <w:jc w:val="both"/>
        <w:rPr>
          <w:rFonts w:ascii="Calibri" w:eastAsia="Times New Roman" w:hAnsi="Calibri" w:cs="Calibri"/>
          <w:color w:val="000000"/>
          <w:lang w:val="es-ES"/>
        </w:rPr>
      </w:pPr>
      <w:r w:rsidRPr="00311782">
        <w:rPr>
          <w:rFonts w:ascii="Calibri" w:eastAsia="Times New Roman" w:hAnsi="Calibri" w:cs="Calibri"/>
          <w:color w:val="000000"/>
          <w:lang w:val="es-ES"/>
        </w:rPr>
        <w:t xml:space="preserve">CONTRATO DE SERVICIOS PARA LA CONFIGURACIÓN, ORGANIZACIÓN, GESTIÓN, IMPARTICIÓN Y EVALUACIÓN DE FORMACIÓN PROFESIONAL PARA EL EMPLEO EN ITINERARIOS FORMATIVOS DE CARÁCTER DUAL CON ORIENTACIÓN PROFESIONAL Y CON LA PROVISIÓN DE INTERMEDIACIÓN LABORAL DIRECTA INCLUIDOS EN LA ESCUELA DE HOSTELERÍA Y ALIMENTACIÓN DEL ORGANISMO AUTÓNOMO LOCAL AGENCIA PARA EL EMPLEO DE MADRID </w:t>
      </w:r>
    </w:p>
    <w:p w14:paraId="2AC37546" w14:textId="77777777" w:rsidR="00F306C4" w:rsidRPr="00311782" w:rsidRDefault="00F306C4" w:rsidP="00F306C4">
      <w:pPr>
        <w:ind w:left="1440"/>
        <w:jc w:val="both"/>
        <w:rPr>
          <w:color w:val="44546A"/>
          <w:sz w:val="24"/>
          <w:szCs w:val="24"/>
          <w:lang w:val="es-ES"/>
        </w:rPr>
      </w:pPr>
    </w:p>
    <w:p w14:paraId="2776C5FD" w14:textId="77777777" w:rsidR="00F306C4" w:rsidRDefault="00F306C4" w:rsidP="00F306C4">
      <w:pPr>
        <w:numPr>
          <w:ilvl w:val="0"/>
          <w:numId w:val="4"/>
        </w:numPr>
        <w:jc w:val="both"/>
        <w:rPr>
          <w:b/>
          <w:bCs/>
          <w:color w:val="44546A"/>
          <w:sz w:val="24"/>
          <w:szCs w:val="24"/>
        </w:rPr>
      </w:pPr>
      <w:r>
        <w:rPr>
          <w:b/>
          <w:bCs/>
          <w:color w:val="44546A"/>
          <w:sz w:val="24"/>
          <w:szCs w:val="24"/>
        </w:rPr>
        <w:t>Tipo de contrato:</w:t>
      </w:r>
    </w:p>
    <w:p w14:paraId="1296404C" w14:textId="77777777" w:rsidR="00F306C4" w:rsidRPr="00170FAE" w:rsidRDefault="00F306C4" w:rsidP="00F306C4">
      <w:pPr>
        <w:ind w:left="720"/>
        <w:jc w:val="both"/>
        <w:rPr>
          <w:rFonts w:ascii="Calibri" w:eastAsia="Times New Roman" w:hAnsi="Calibri" w:cs="Calibri"/>
          <w:color w:val="000000"/>
          <w:lang w:val="es-ES"/>
        </w:rPr>
      </w:pPr>
      <w:r w:rsidRPr="00170FAE">
        <w:rPr>
          <w:rFonts w:ascii="Calibri" w:eastAsia="Times New Roman" w:hAnsi="Calibri" w:cs="Calibri"/>
          <w:color w:val="000000"/>
          <w:lang w:val="es-ES"/>
        </w:rPr>
        <w:t>SERVICIOS</w:t>
      </w:r>
    </w:p>
    <w:p w14:paraId="292D5EBB" w14:textId="77777777" w:rsidR="00F306C4" w:rsidRDefault="00F306C4" w:rsidP="00F306C4">
      <w:pPr>
        <w:ind w:left="708"/>
        <w:jc w:val="both"/>
        <w:rPr>
          <w:color w:val="44546A"/>
          <w:sz w:val="24"/>
          <w:szCs w:val="24"/>
        </w:rPr>
      </w:pPr>
    </w:p>
    <w:p w14:paraId="4C97EB79" w14:textId="77777777" w:rsidR="00F306C4" w:rsidRDefault="00F306C4" w:rsidP="00F306C4">
      <w:pPr>
        <w:numPr>
          <w:ilvl w:val="0"/>
          <w:numId w:val="4"/>
        </w:numPr>
        <w:jc w:val="both"/>
        <w:rPr>
          <w:b/>
          <w:bCs/>
          <w:color w:val="44546A"/>
          <w:sz w:val="24"/>
          <w:szCs w:val="24"/>
        </w:rPr>
      </w:pPr>
      <w:r>
        <w:rPr>
          <w:b/>
          <w:bCs/>
          <w:color w:val="44546A"/>
          <w:sz w:val="24"/>
          <w:szCs w:val="24"/>
        </w:rPr>
        <w:t>Objeto del contrato:</w:t>
      </w:r>
    </w:p>
    <w:p w14:paraId="7B315BFE" w14:textId="77777777" w:rsidR="00F306C4" w:rsidRPr="006223A1" w:rsidRDefault="00F306C4" w:rsidP="00F306C4">
      <w:pPr>
        <w:spacing w:line="240" w:lineRule="auto"/>
        <w:ind w:left="709"/>
        <w:jc w:val="both"/>
        <w:rPr>
          <w:rFonts w:ascii="Calibri" w:eastAsia="Times New Roman" w:hAnsi="Calibri" w:cs="Calibri"/>
          <w:color w:val="000000"/>
          <w:lang w:val="es-ES"/>
        </w:rPr>
      </w:pPr>
      <w:r w:rsidRPr="006223A1">
        <w:rPr>
          <w:rFonts w:ascii="Calibri" w:eastAsia="Times New Roman" w:hAnsi="Calibri" w:cs="Calibri"/>
          <w:color w:val="000000"/>
          <w:lang w:val="es-ES"/>
        </w:rPr>
        <w:t xml:space="preserve">Fijar las condiciones técnicas que han de regir la contratación del servicio para la configuración, organización, gestión, impartición y evaluación de cursos de formación profesional para el empleo ajustados a las necesidades del mercado, incluidos en la Escuela de Hostelería y Alimentación del Organismo Autónomo Local Agencia para el Empleo de Madrid, dirigido, tanto a personas desempleadas como a personas ocupadas, permitiéndoles su incorporación al mundo laboral y/o desarrollo profesional </w:t>
      </w:r>
    </w:p>
    <w:p w14:paraId="2FA313B7" w14:textId="77777777" w:rsidR="00F306C4" w:rsidRPr="00CE06D0" w:rsidRDefault="00F306C4" w:rsidP="00F306C4">
      <w:pPr>
        <w:jc w:val="both"/>
        <w:rPr>
          <w:color w:val="44546A"/>
          <w:sz w:val="24"/>
          <w:szCs w:val="24"/>
          <w:lang w:val="es-ES"/>
        </w:rPr>
      </w:pPr>
    </w:p>
    <w:p w14:paraId="1E381173" w14:textId="77777777" w:rsidR="00F306C4" w:rsidRDefault="00F306C4" w:rsidP="00F306C4">
      <w:pPr>
        <w:numPr>
          <w:ilvl w:val="0"/>
          <w:numId w:val="4"/>
        </w:numPr>
        <w:jc w:val="both"/>
        <w:rPr>
          <w:b/>
          <w:bCs/>
          <w:color w:val="44546A"/>
          <w:sz w:val="24"/>
          <w:szCs w:val="24"/>
        </w:rPr>
      </w:pPr>
      <w:r>
        <w:rPr>
          <w:b/>
          <w:bCs/>
          <w:color w:val="44546A"/>
          <w:sz w:val="24"/>
          <w:szCs w:val="24"/>
        </w:rPr>
        <w:t>Duración:</w:t>
      </w:r>
    </w:p>
    <w:p w14:paraId="68022491" w14:textId="77777777" w:rsidR="00F306C4" w:rsidRDefault="00F306C4" w:rsidP="00F306C4">
      <w:pPr>
        <w:ind w:left="709"/>
        <w:jc w:val="both"/>
        <w:rPr>
          <w:rFonts w:ascii="Calibri" w:eastAsia="Times New Roman" w:hAnsi="Calibri" w:cs="Calibri"/>
          <w:color w:val="000000"/>
          <w:lang w:val="es-ES"/>
        </w:rPr>
      </w:pPr>
      <w:r w:rsidRPr="00E52E93">
        <w:rPr>
          <w:rFonts w:ascii="Calibri" w:eastAsia="Times New Roman" w:hAnsi="Calibri" w:cs="Calibri"/>
          <w:color w:val="000000"/>
          <w:lang w:val="es-ES"/>
        </w:rPr>
        <w:t>24 meses</w:t>
      </w:r>
    </w:p>
    <w:p w14:paraId="3541CCEE" w14:textId="77777777" w:rsidR="00F306C4" w:rsidRPr="00E52E93" w:rsidRDefault="00F306C4" w:rsidP="00F306C4">
      <w:pPr>
        <w:ind w:left="709"/>
        <w:jc w:val="both"/>
        <w:rPr>
          <w:rFonts w:ascii="Calibri" w:eastAsia="Times New Roman" w:hAnsi="Calibri" w:cs="Calibri"/>
          <w:color w:val="000000"/>
          <w:lang w:val="es-ES"/>
        </w:rPr>
      </w:pPr>
    </w:p>
    <w:p w14:paraId="385FA2C6" w14:textId="77777777" w:rsidR="00F306C4" w:rsidRDefault="00F306C4" w:rsidP="00F306C4">
      <w:pPr>
        <w:numPr>
          <w:ilvl w:val="0"/>
          <w:numId w:val="4"/>
        </w:numPr>
        <w:jc w:val="both"/>
        <w:rPr>
          <w:b/>
          <w:bCs/>
          <w:color w:val="44546A"/>
          <w:sz w:val="24"/>
          <w:szCs w:val="24"/>
        </w:rPr>
      </w:pPr>
      <w:r>
        <w:rPr>
          <w:b/>
          <w:bCs/>
          <w:color w:val="44546A"/>
          <w:sz w:val="24"/>
          <w:szCs w:val="24"/>
        </w:rPr>
        <w:t>Importe de licitación:</w:t>
      </w:r>
    </w:p>
    <w:p w14:paraId="47F45760" w14:textId="77777777" w:rsidR="00F306C4" w:rsidRPr="004D659E" w:rsidRDefault="00F306C4" w:rsidP="00F306C4">
      <w:pPr>
        <w:spacing w:line="240" w:lineRule="auto"/>
        <w:ind w:firstLine="708"/>
        <w:jc w:val="both"/>
        <w:rPr>
          <w:rFonts w:ascii="Calibri" w:eastAsia="Times New Roman" w:hAnsi="Calibri" w:cs="Calibri"/>
          <w:color w:val="000000"/>
          <w:lang w:val="es-ES"/>
        </w:rPr>
      </w:pPr>
      <w:r w:rsidRPr="004D659E">
        <w:rPr>
          <w:rFonts w:ascii="Calibri" w:eastAsia="Times New Roman" w:hAnsi="Calibri" w:cs="Calibri"/>
          <w:color w:val="000000"/>
          <w:lang w:val="es-ES"/>
        </w:rPr>
        <w:t>3.529.208,40</w:t>
      </w:r>
      <w:r>
        <w:rPr>
          <w:rFonts w:ascii="Calibri" w:eastAsia="Times New Roman" w:hAnsi="Calibri" w:cs="Calibri"/>
          <w:color w:val="000000"/>
          <w:lang w:val="es-ES"/>
        </w:rPr>
        <w:t xml:space="preserve"> euros</w:t>
      </w:r>
    </w:p>
    <w:p w14:paraId="03C8E8BA" w14:textId="77777777" w:rsidR="00F306C4" w:rsidRDefault="00F306C4" w:rsidP="00F306C4">
      <w:pPr>
        <w:ind w:left="720"/>
        <w:jc w:val="both"/>
        <w:rPr>
          <w:b/>
          <w:bCs/>
          <w:color w:val="44546A"/>
          <w:sz w:val="24"/>
          <w:szCs w:val="24"/>
        </w:rPr>
      </w:pPr>
    </w:p>
    <w:p w14:paraId="4D94DBCB" w14:textId="77777777" w:rsidR="00F306C4" w:rsidRDefault="00F306C4" w:rsidP="00F306C4">
      <w:pPr>
        <w:numPr>
          <w:ilvl w:val="0"/>
          <w:numId w:val="4"/>
        </w:numPr>
        <w:jc w:val="both"/>
        <w:rPr>
          <w:b/>
          <w:bCs/>
          <w:color w:val="44546A"/>
          <w:sz w:val="24"/>
          <w:szCs w:val="24"/>
        </w:rPr>
      </w:pPr>
      <w:r>
        <w:rPr>
          <w:b/>
          <w:bCs/>
          <w:color w:val="44546A"/>
          <w:sz w:val="24"/>
          <w:szCs w:val="24"/>
        </w:rPr>
        <w:t>Importe de adjudicación:</w:t>
      </w:r>
    </w:p>
    <w:p w14:paraId="62C0EBBC" w14:textId="77777777" w:rsidR="00F306C4" w:rsidRPr="00883C39" w:rsidRDefault="00F306C4" w:rsidP="00F306C4">
      <w:pPr>
        <w:spacing w:line="240" w:lineRule="auto"/>
        <w:ind w:firstLine="708"/>
        <w:jc w:val="both"/>
        <w:rPr>
          <w:rFonts w:ascii="Calibri" w:eastAsia="Times New Roman" w:hAnsi="Calibri" w:cs="Calibri"/>
          <w:color w:val="000000"/>
          <w:lang w:val="es-ES"/>
        </w:rPr>
      </w:pPr>
      <w:r w:rsidRPr="00883C39">
        <w:rPr>
          <w:rFonts w:ascii="Calibri" w:eastAsia="Times New Roman" w:hAnsi="Calibri" w:cs="Calibri"/>
          <w:color w:val="000000"/>
          <w:lang w:val="es-ES"/>
        </w:rPr>
        <w:t>3.144.524,68</w:t>
      </w:r>
      <w:r>
        <w:rPr>
          <w:rFonts w:ascii="Calibri" w:eastAsia="Times New Roman" w:hAnsi="Calibri" w:cs="Calibri"/>
          <w:color w:val="000000"/>
          <w:lang w:val="es-ES"/>
        </w:rPr>
        <w:t xml:space="preserve"> euros</w:t>
      </w:r>
    </w:p>
    <w:p w14:paraId="1E208834" w14:textId="77777777" w:rsidR="00F306C4" w:rsidRDefault="00F306C4" w:rsidP="00F306C4">
      <w:pPr>
        <w:ind w:left="708"/>
        <w:jc w:val="both"/>
        <w:rPr>
          <w:color w:val="44546A"/>
          <w:sz w:val="24"/>
          <w:szCs w:val="24"/>
        </w:rPr>
      </w:pPr>
    </w:p>
    <w:p w14:paraId="611604DC" w14:textId="77777777" w:rsidR="00F306C4" w:rsidRDefault="00F306C4" w:rsidP="00F306C4">
      <w:pPr>
        <w:numPr>
          <w:ilvl w:val="0"/>
          <w:numId w:val="4"/>
        </w:numPr>
        <w:jc w:val="both"/>
        <w:rPr>
          <w:b/>
          <w:bCs/>
          <w:color w:val="44546A"/>
          <w:sz w:val="24"/>
          <w:szCs w:val="24"/>
        </w:rPr>
      </w:pPr>
      <w:r>
        <w:rPr>
          <w:b/>
          <w:bCs/>
          <w:color w:val="44546A"/>
          <w:sz w:val="24"/>
          <w:szCs w:val="24"/>
        </w:rPr>
        <w:t>Procedimiento utilizado:</w:t>
      </w:r>
    </w:p>
    <w:p w14:paraId="24C56130" w14:textId="77777777" w:rsidR="00F306C4" w:rsidRPr="00726189" w:rsidRDefault="00F306C4" w:rsidP="00F306C4">
      <w:pPr>
        <w:ind w:left="708"/>
        <w:jc w:val="both"/>
        <w:rPr>
          <w:rFonts w:ascii="Calibri" w:eastAsia="Times New Roman" w:hAnsi="Calibri" w:cs="Calibri"/>
          <w:color w:val="000000"/>
          <w:lang w:val="es-ES"/>
        </w:rPr>
      </w:pPr>
      <w:r w:rsidRPr="00117001">
        <w:rPr>
          <w:rFonts w:ascii="Calibri" w:eastAsia="Times New Roman" w:hAnsi="Calibri" w:cs="Calibri"/>
          <w:color w:val="000000"/>
          <w:lang w:val="es-ES"/>
        </w:rPr>
        <w:t>Procedimiento: abierto. Criterios de adjudicación: Se atiende a una pluralidad de criterios. Tramitación Ordinaria</w:t>
      </w:r>
    </w:p>
    <w:p w14:paraId="432E2C2E" w14:textId="77777777" w:rsidR="00F306C4" w:rsidRDefault="00F306C4" w:rsidP="00F306C4">
      <w:pPr>
        <w:numPr>
          <w:ilvl w:val="0"/>
          <w:numId w:val="4"/>
        </w:numPr>
        <w:jc w:val="both"/>
        <w:rPr>
          <w:b/>
          <w:bCs/>
          <w:color w:val="44546A"/>
          <w:sz w:val="24"/>
          <w:szCs w:val="24"/>
        </w:rPr>
      </w:pPr>
      <w:r>
        <w:rPr>
          <w:b/>
          <w:bCs/>
          <w:color w:val="44546A"/>
          <w:sz w:val="24"/>
          <w:szCs w:val="24"/>
        </w:rPr>
        <w:t>Identidad de las personas o entidades a las que se adjudica el contrato o administración contratante en el caso de entidades privadas:</w:t>
      </w:r>
    </w:p>
    <w:p w14:paraId="5D61ADF6" w14:textId="77777777" w:rsidR="00F306C4" w:rsidRDefault="00F306C4" w:rsidP="00F306C4">
      <w:pPr>
        <w:spacing w:line="240" w:lineRule="auto"/>
        <w:ind w:left="709"/>
        <w:jc w:val="both"/>
        <w:rPr>
          <w:rFonts w:ascii="Calibri" w:eastAsia="Times New Roman" w:hAnsi="Calibri" w:cs="Calibri"/>
          <w:b/>
          <w:bCs/>
          <w:color w:val="000000"/>
          <w:lang w:val="es-ES"/>
        </w:rPr>
      </w:pPr>
    </w:p>
    <w:p w14:paraId="075B9AA0" w14:textId="77777777" w:rsidR="00F306C4" w:rsidRDefault="00F306C4" w:rsidP="00F306C4">
      <w:pPr>
        <w:spacing w:line="240" w:lineRule="auto"/>
        <w:ind w:left="709"/>
        <w:jc w:val="both"/>
        <w:rPr>
          <w:rFonts w:ascii="Calibri" w:eastAsia="Times New Roman" w:hAnsi="Calibri" w:cs="Calibri"/>
          <w:color w:val="000000"/>
          <w:lang w:val="es-ES"/>
        </w:rPr>
      </w:pPr>
      <w:r w:rsidRPr="00274F20">
        <w:rPr>
          <w:rFonts w:ascii="Calibri" w:eastAsia="Times New Roman" w:hAnsi="Calibri" w:cs="Calibri"/>
          <w:b/>
          <w:bCs/>
          <w:color w:val="000000"/>
          <w:lang w:val="es-ES"/>
        </w:rPr>
        <w:t>Entidad a la que se adjudica:</w:t>
      </w:r>
      <w:r>
        <w:rPr>
          <w:rFonts w:ascii="Calibri" w:eastAsia="Times New Roman" w:hAnsi="Calibri" w:cs="Calibri"/>
          <w:color w:val="000000"/>
          <w:lang w:val="es-ES"/>
        </w:rPr>
        <w:t xml:space="preserve"> </w:t>
      </w:r>
      <w:r w:rsidRPr="006C6A2A">
        <w:rPr>
          <w:rFonts w:ascii="Calibri" w:eastAsia="Times New Roman" w:hAnsi="Calibri" w:cs="Calibri"/>
          <w:color w:val="000000"/>
          <w:lang w:val="es-ES"/>
        </w:rPr>
        <w:t>ASPASIA-ALCAZAREN</w:t>
      </w:r>
      <w:r>
        <w:rPr>
          <w:rFonts w:ascii="Calibri" w:eastAsia="Times New Roman" w:hAnsi="Calibri" w:cs="Calibri"/>
          <w:color w:val="000000"/>
          <w:lang w:val="es-ES"/>
        </w:rPr>
        <w:t xml:space="preserve"> 2</w:t>
      </w:r>
      <w:r w:rsidRPr="006C6A2A">
        <w:rPr>
          <w:rFonts w:ascii="Calibri" w:eastAsia="Times New Roman" w:hAnsi="Calibri" w:cs="Calibri"/>
          <w:color w:val="000000"/>
          <w:lang w:val="es-ES"/>
        </w:rPr>
        <w:t>4, UNIÓN TEMPORAL DE EMPRESAS</w:t>
      </w:r>
    </w:p>
    <w:p w14:paraId="6047A0F3" w14:textId="77777777" w:rsidR="00F306C4" w:rsidRDefault="00F306C4" w:rsidP="00F306C4">
      <w:pPr>
        <w:spacing w:line="240" w:lineRule="auto"/>
        <w:ind w:left="709"/>
        <w:jc w:val="both"/>
        <w:rPr>
          <w:rFonts w:ascii="Calibri" w:eastAsia="Times New Roman" w:hAnsi="Calibri" w:cs="Calibri"/>
          <w:color w:val="000000"/>
          <w:lang w:val="es-ES"/>
        </w:rPr>
      </w:pPr>
      <w:r w:rsidRPr="00274F20">
        <w:rPr>
          <w:rFonts w:ascii="Calibri" w:eastAsia="Times New Roman" w:hAnsi="Calibri" w:cs="Calibri"/>
          <w:b/>
          <w:bCs/>
          <w:color w:val="000000"/>
          <w:lang w:val="es-ES"/>
        </w:rPr>
        <w:t>CIF de la entidad:</w:t>
      </w:r>
      <w:r>
        <w:rPr>
          <w:rFonts w:ascii="Calibri" w:eastAsia="Times New Roman" w:hAnsi="Calibri" w:cs="Calibri"/>
          <w:color w:val="000000"/>
          <w:lang w:val="es-ES"/>
        </w:rPr>
        <w:t xml:space="preserve"> </w:t>
      </w:r>
      <w:r w:rsidRPr="00A4193E">
        <w:rPr>
          <w:rFonts w:ascii="Calibri" w:eastAsia="Times New Roman" w:hAnsi="Calibri" w:cs="Calibri"/>
          <w:color w:val="000000"/>
          <w:lang w:val="es-ES"/>
        </w:rPr>
        <w:t>U75835173</w:t>
      </w:r>
    </w:p>
    <w:p w14:paraId="36F6664A" w14:textId="77777777" w:rsidR="00F306C4" w:rsidRDefault="00F306C4" w:rsidP="00F306C4">
      <w:pPr>
        <w:spacing w:line="240" w:lineRule="auto"/>
        <w:ind w:left="709"/>
        <w:jc w:val="both"/>
        <w:rPr>
          <w:rFonts w:ascii="Calibri" w:eastAsia="Times New Roman" w:hAnsi="Calibri" w:cs="Calibri"/>
          <w:color w:val="000000"/>
          <w:lang w:val="es-ES"/>
        </w:rPr>
      </w:pPr>
      <w:r w:rsidRPr="00274F20">
        <w:rPr>
          <w:rFonts w:ascii="Calibri" w:eastAsia="Times New Roman" w:hAnsi="Calibri" w:cs="Calibri"/>
          <w:b/>
          <w:bCs/>
          <w:color w:val="000000"/>
          <w:lang w:val="es-ES"/>
        </w:rPr>
        <w:t xml:space="preserve">% Adalid en la UTE: </w:t>
      </w:r>
      <w:r>
        <w:rPr>
          <w:rFonts w:ascii="Calibri" w:eastAsia="Times New Roman" w:hAnsi="Calibri" w:cs="Calibri"/>
          <w:color w:val="000000"/>
          <w:lang w:val="es-ES"/>
        </w:rPr>
        <w:t>20%</w:t>
      </w:r>
    </w:p>
    <w:p w14:paraId="25BF00D2" w14:textId="77777777" w:rsidR="00F306C4" w:rsidRDefault="00F306C4" w:rsidP="00F306C4">
      <w:pPr>
        <w:spacing w:line="240" w:lineRule="auto"/>
        <w:ind w:left="709"/>
        <w:jc w:val="both"/>
        <w:rPr>
          <w:rFonts w:ascii="Calibri" w:eastAsia="Times New Roman" w:hAnsi="Calibri" w:cs="Calibri"/>
          <w:color w:val="000000"/>
          <w:lang w:val="es-ES"/>
        </w:rPr>
      </w:pPr>
      <w:r>
        <w:rPr>
          <w:rFonts w:ascii="Calibri" w:eastAsia="Times New Roman" w:hAnsi="Calibri" w:cs="Calibri"/>
          <w:b/>
          <w:bCs/>
          <w:color w:val="000000"/>
          <w:lang w:val="es-ES"/>
        </w:rPr>
        <w:t xml:space="preserve">% </w:t>
      </w:r>
      <w:proofErr w:type="spellStart"/>
      <w:r>
        <w:rPr>
          <w:rFonts w:ascii="Calibri" w:eastAsia="Times New Roman" w:hAnsi="Calibri" w:cs="Calibri"/>
          <w:b/>
          <w:bCs/>
          <w:color w:val="000000"/>
          <w:lang w:val="es-ES"/>
        </w:rPr>
        <w:t>Ibecon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val="es-ES"/>
        </w:rPr>
        <w:t xml:space="preserve"> en la UTE:</w:t>
      </w:r>
      <w:r>
        <w:rPr>
          <w:rFonts w:ascii="Calibri" w:eastAsia="Times New Roman" w:hAnsi="Calibri" w:cs="Calibri"/>
          <w:color w:val="000000"/>
          <w:lang w:val="es-ES"/>
        </w:rPr>
        <w:t xml:space="preserve"> 20%</w:t>
      </w:r>
    </w:p>
    <w:p w14:paraId="2B8F4D42" w14:textId="77777777" w:rsidR="00F306C4" w:rsidRPr="005D60DC" w:rsidRDefault="00F306C4" w:rsidP="00F306C4">
      <w:pPr>
        <w:spacing w:line="240" w:lineRule="auto"/>
        <w:ind w:left="709"/>
        <w:jc w:val="both"/>
        <w:rPr>
          <w:rFonts w:ascii="Calibri" w:eastAsia="Times New Roman" w:hAnsi="Calibri" w:cs="Calibri"/>
          <w:color w:val="000000"/>
          <w:lang w:val="es-ES"/>
        </w:rPr>
      </w:pPr>
      <w:r>
        <w:rPr>
          <w:rFonts w:ascii="Calibri" w:eastAsia="Times New Roman" w:hAnsi="Calibri" w:cs="Calibri"/>
          <w:b/>
          <w:bCs/>
          <w:color w:val="000000"/>
          <w:lang w:val="es-ES"/>
        </w:rPr>
        <w:t>% Insem en la UTE:</w:t>
      </w:r>
      <w:r>
        <w:rPr>
          <w:rFonts w:ascii="Calibri" w:eastAsia="Times New Roman" w:hAnsi="Calibri" w:cs="Calibri"/>
          <w:color w:val="000000"/>
          <w:lang w:val="es-ES"/>
        </w:rPr>
        <w:t xml:space="preserve"> 20%</w:t>
      </w:r>
    </w:p>
    <w:p w14:paraId="3393B611" w14:textId="77777777" w:rsidR="00F306C4" w:rsidRPr="0026540C" w:rsidRDefault="00F306C4" w:rsidP="00F306C4">
      <w:pPr>
        <w:spacing w:line="240" w:lineRule="auto"/>
        <w:ind w:left="709"/>
        <w:jc w:val="both"/>
        <w:rPr>
          <w:rFonts w:ascii="Calibri" w:eastAsia="Times New Roman" w:hAnsi="Calibri" w:cs="Calibri"/>
          <w:color w:val="000000"/>
          <w:lang w:val="es-ES"/>
        </w:rPr>
      </w:pPr>
      <w:r w:rsidRPr="008451E6">
        <w:rPr>
          <w:rFonts w:ascii="Calibri" w:eastAsia="Times New Roman" w:hAnsi="Calibri" w:cs="Calibri"/>
          <w:b/>
          <w:bCs/>
          <w:color w:val="000000"/>
          <w:lang w:val="es-ES"/>
        </w:rPr>
        <w:t>Organismo:</w:t>
      </w:r>
      <w:r>
        <w:rPr>
          <w:rFonts w:ascii="Calibri" w:eastAsia="Times New Roman" w:hAnsi="Calibri" w:cs="Calibri"/>
          <w:color w:val="000000"/>
          <w:lang w:val="es-ES"/>
        </w:rPr>
        <w:t xml:space="preserve"> </w:t>
      </w:r>
      <w:r w:rsidRPr="005E259E">
        <w:rPr>
          <w:rFonts w:ascii="Calibri" w:eastAsia="Times New Roman" w:hAnsi="Calibri" w:cs="Calibri"/>
          <w:color w:val="000000"/>
          <w:lang w:val="es-ES"/>
        </w:rPr>
        <w:t>AGENCIA PARA EL EMPLEO DEL AYUNTAMIENTO DE MADRID</w:t>
      </w:r>
    </w:p>
    <w:p w14:paraId="44BC82E4" w14:textId="77777777" w:rsidR="00F306C4" w:rsidRDefault="00F306C4" w:rsidP="00F306C4">
      <w:pPr>
        <w:ind w:left="1440"/>
        <w:jc w:val="both"/>
        <w:rPr>
          <w:color w:val="44546A"/>
          <w:sz w:val="24"/>
          <w:szCs w:val="24"/>
        </w:rPr>
      </w:pPr>
    </w:p>
    <w:p w14:paraId="0EF64111" w14:textId="77777777" w:rsidR="00F306C4" w:rsidRDefault="00F306C4" w:rsidP="00F306C4">
      <w:pPr>
        <w:numPr>
          <w:ilvl w:val="0"/>
          <w:numId w:val="4"/>
        </w:numPr>
        <w:jc w:val="both"/>
        <w:rPr>
          <w:b/>
          <w:bCs/>
          <w:color w:val="44546A"/>
          <w:sz w:val="24"/>
          <w:szCs w:val="24"/>
        </w:rPr>
      </w:pPr>
      <w:r>
        <w:rPr>
          <w:b/>
          <w:bCs/>
          <w:color w:val="44546A"/>
          <w:sz w:val="24"/>
          <w:szCs w:val="24"/>
        </w:rPr>
        <w:t>Modificaciones de los contratos formalizados:</w:t>
      </w:r>
    </w:p>
    <w:p w14:paraId="182AF3A8" w14:textId="77777777" w:rsidR="00F306C4" w:rsidRDefault="00F306C4" w:rsidP="00F306C4">
      <w:pPr>
        <w:ind w:left="709"/>
        <w:jc w:val="both"/>
        <w:rPr>
          <w:rFonts w:ascii="Calibri" w:eastAsia="Times New Roman" w:hAnsi="Calibri" w:cs="Calibri"/>
          <w:color w:val="000000"/>
          <w:lang w:val="es-ES"/>
        </w:rPr>
      </w:pPr>
      <w:r>
        <w:rPr>
          <w:rFonts w:ascii="Calibri" w:eastAsia="Times New Roman" w:hAnsi="Calibri" w:cs="Calibri"/>
          <w:color w:val="000000"/>
          <w:lang w:val="es-ES"/>
        </w:rPr>
        <w:t>REAJUSTES DE ANUALIDADES 2026</w:t>
      </w:r>
    </w:p>
    <w:p w14:paraId="12EA3DBC" w14:textId="77777777" w:rsidR="008518FF" w:rsidRPr="008451E6" w:rsidRDefault="008518FF" w:rsidP="00F306C4">
      <w:pPr>
        <w:ind w:left="709"/>
        <w:jc w:val="both"/>
        <w:rPr>
          <w:rFonts w:ascii="Calibri" w:eastAsia="Times New Roman" w:hAnsi="Calibri" w:cs="Calibri"/>
          <w:color w:val="000000"/>
          <w:lang w:val="es-ES"/>
        </w:rPr>
      </w:pPr>
    </w:p>
    <w:p w14:paraId="42D23CA3" w14:textId="77777777" w:rsidR="00F306C4" w:rsidRDefault="00F306C4" w:rsidP="00F306C4">
      <w:pPr>
        <w:numPr>
          <w:ilvl w:val="0"/>
          <w:numId w:val="4"/>
        </w:numPr>
        <w:jc w:val="both"/>
        <w:rPr>
          <w:b/>
          <w:bCs/>
          <w:color w:val="44546A"/>
          <w:sz w:val="24"/>
          <w:szCs w:val="24"/>
        </w:rPr>
      </w:pPr>
      <w:r>
        <w:rPr>
          <w:b/>
          <w:bCs/>
          <w:color w:val="44546A"/>
          <w:sz w:val="24"/>
          <w:szCs w:val="24"/>
        </w:rPr>
        <w:lastRenderedPageBreak/>
        <w:t>Decisiones de desistimiento y renuncia de los contratos</w:t>
      </w:r>
    </w:p>
    <w:p w14:paraId="166D136E" w14:textId="77777777" w:rsidR="00F306C4" w:rsidRPr="008451E6" w:rsidRDefault="00F306C4" w:rsidP="00F306C4">
      <w:pPr>
        <w:ind w:left="709"/>
        <w:jc w:val="both"/>
        <w:rPr>
          <w:rFonts w:ascii="Calibri" w:eastAsia="Times New Roman" w:hAnsi="Calibri" w:cs="Calibri"/>
          <w:color w:val="000000"/>
          <w:lang w:val="es-ES"/>
        </w:rPr>
      </w:pPr>
      <w:r w:rsidRPr="008451E6">
        <w:rPr>
          <w:rFonts w:ascii="Calibri" w:eastAsia="Times New Roman" w:hAnsi="Calibri" w:cs="Calibri"/>
          <w:color w:val="000000"/>
          <w:lang w:val="es-ES"/>
        </w:rPr>
        <w:t>No existe desistimiento</w:t>
      </w:r>
    </w:p>
    <w:p w14:paraId="770375B0" w14:textId="5AC6D06E" w:rsidR="00963433" w:rsidRDefault="008518FF" w:rsidP="008518FF">
      <w:pPr>
        <w:spacing w:after="160" w:line="259" w:lineRule="auto"/>
        <w:rPr>
          <w:color w:val="44546A"/>
          <w:sz w:val="24"/>
          <w:szCs w:val="24"/>
        </w:rPr>
      </w:pPr>
      <w:r>
        <w:rPr>
          <w:color w:val="44546A"/>
          <w:sz w:val="24"/>
          <w:szCs w:val="24"/>
        </w:rPr>
        <w:br w:type="page"/>
      </w:r>
    </w:p>
    <w:p w14:paraId="7138F312" w14:textId="77777777" w:rsidR="00963433" w:rsidRDefault="00963433" w:rsidP="008518FF">
      <w:pPr>
        <w:numPr>
          <w:ilvl w:val="0"/>
          <w:numId w:val="6"/>
        </w:numPr>
        <w:rPr>
          <w:b/>
          <w:bCs/>
          <w:color w:val="44546A"/>
          <w:sz w:val="24"/>
          <w:szCs w:val="24"/>
        </w:rPr>
      </w:pPr>
      <w:r>
        <w:rPr>
          <w:b/>
          <w:bCs/>
          <w:color w:val="44546A"/>
          <w:sz w:val="24"/>
          <w:szCs w:val="24"/>
        </w:rPr>
        <w:lastRenderedPageBreak/>
        <w:t>CONVENIOS Y ENCOMIENDAS DE GESTIÓN</w:t>
      </w:r>
    </w:p>
    <w:p w14:paraId="30D1F4DF" w14:textId="77777777" w:rsidR="00963433" w:rsidRDefault="00963433" w:rsidP="00963433">
      <w:pPr>
        <w:jc w:val="both"/>
        <w:rPr>
          <w:color w:val="44546A"/>
          <w:sz w:val="24"/>
          <w:szCs w:val="24"/>
        </w:rPr>
      </w:pPr>
    </w:p>
    <w:p w14:paraId="01ABE841" w14:textId="77777777" w:rsidR="00963433" w:rsidRDefault="00963433" w:rsidP="00963433">
      <w:pPr>
        <w:numPr>
          <w:ilvl w:val="0"/>
          <w:numId w:val="3"/>
        </w:numPr>
        <w:jc w:val="both"/>
        <w:rPr>
          <w:b/>
          <w:bCs/>
          <w:color w:val="44546A"/>
          <w:sz w:val="24"/>
          <w:szCs w:val="24"/>
        </w:rPr>
      </w:pPr>
      <w:r>
        <w:rPr>
          <w:b/>
          <w:bCs/>
          <w:color w:val="44546A"/>
          <w:sz w:val="24"/>
          <w:szCs w:val="24"/>
        </w:rPr>
        <w:t>Partes firmantes y denominación del convenio:</w:t>
      </w:r>
    </w:p>
    <w:p w14:paraId="3AF9C5E7" w14:textId="77777777" w:rsidR="00963433" w:rsidRDefault="00963433" w:rsidP="00963433">
      <w:pPr>
        <w:numPr>
          <w:ilvl w:val="1"/>
          <w:numId w:val="3"/>
        </w:numPr>
        <w:jc w:val="both"/>
        <w:rPr>
          <w:color w:val="44546A"/>
          <w:sz w:val="24"/>
          <w:szCs w:val="24"/>
        </w:rPr>
      </w:pPr>
      <w:r>
        <w:rPr>
          <w:color w:val="44546A"/>
          <w:sz w:val="24"/>
          <w:szCs w:val="24"/>
        </w:rPr>
        <w:t>Información</w:t>
      </w:r>
    </w:p>
    <w:p w14:paraId="1B2A02EB" w14:textId="77777777" w:rsidR="00963433" w:rsidRDefault="00963433" w:rsidP="00963433">
      <w:pPr>
        <w:ind w:left="1440"/>
        <w:jc w:val="both"/>
        <w:rPr>
          <w:color w:val="44546A"/>
          <w:sz w:val="24"/>
          <w:szCs w:val="24"/>
        </w:rPr>
      </w:pPr>
    </w:p>
    <w:p w14:paraId="35BEAD3D" w14:textId="77777777" w:rsidR="00963433" w:rsidRDefault="00963433" w:rsidP="00963433">
      <w:pPr>
        <w:numPr>
          <w:ilvl w:val="0"/>
          <w:numId w:val="3"/>
        </w:numPr>
        <w:jc w:val="both"/>
        <w:rPr>
          <w:b/>
          <w:bCs/>
          <w:color w:val="44546A"/>
          <w:sz w:val="24"/>
          <w:szCs w:val="24"/>
        </w:rPr>
      </w:pPr>
      <w:r>
        <w:rPr>
          <w:b/>
          <w:bCs/>
          <w:color w:val="44546A"/>
          <w:sz w:val="24"/>
          <w:szCs w:val="24"/>
        </w:rPr>
        <w:t>Objeto:</w:t>
      </w:r>
    </w:p>
    <w:p w14:paraId="6F08DC04" w14:textId="77777777" w:rsidR="00963433" w:rsidRDefault="00963433" w:rsidP="00963433">
      <w:pPr>
        <w:numPr>
          <w:ilvl w:val="1"/>
          <w:numId w:val="3"/>
        </w:numPr>
        <w:jc w:val="both"/>
        <w:rPr>
          <w:color w:val="44546A"/>
          <w:sz w:val="24"/>
          <w:szCs w:val="24"/>
        </w:rPr>
      </w:pPr>
      <w:r>
        <w:rPr>
          <w:color w:val="44546A"/>
          <w:sz w:val="24"/>
          <w:szCs w:val="24"/>
        </w:rPr>
        <w:t>Información</w:t>
      </w:r>
    </w:p>
    <w:p w14:paraId="41ED8402" w14:textId="77777777" w:rsidR="00963433" w:rsidRDefault="00963433" w:rsidP="00963433">
      <w:pPr>
        <w:ind w:left="1440"/>
        <w:jc w:val="both"/>
        <w:rPr>
          <w:color w:val="44546A"/>
          <w:sz w:val="24"/>
          <w:szCs w:val="24"/>
        </w:rPr>
      </w:pPr>
    </w:p>
    <w:p w14:paraId="4FEE129F" w14:textId="77777777" w:rsidR="00963433" w:rsidRDefault="00963433" w:rsidP="00963433">
      <w:pPr>
        <w:numPr>
          <w:ilvl w:val="0"/>
          <w:numId w:val="3"/>
        </w:numPr>
        <w:jc w:val="both"/>
        <w:rPr>
          <w:b/>
          <w:bCs/>
          <w:color w:val="44546A"/>
          <w:sz w:val="24"/>
          <w:szCs w:val="24"/>
        </w:rPr>
      </w:pPr>
      <w:r>
        <w:rPr>
          <w:b/>
          <w:bCs/>
          <w:color w:val="44546A"/>
          <w:sz w:val="24"/>
          <w:szCs w:val="24"/>
        </w:rPr>
        <w:t>Plazo y condiciones de vigencia:</w:t>
      </w:r>
    </w:p>
    <w:p w14:paraId="7B4D4C0E" w14:textId="77777777" w:rsidR="00963433" w:rsidRDefault="00963433" w:rsidP="00963433">
      <w:pPr>
        <w:numPr>
          <w:ilvl w:val="1"/>
          <w:numId w:val="3"/>
        </w:numPr>
        <w:jc w:val="both"/>
        <w:rPr>
          <w:color w:val="44546A"/>
          <w:sz w:val="24"/>
          <w:szCs w:val="24"/>
        </w:rPr>
      </w:pPr>
      <w:r>
        <w:rPr>
          <w:color w:val="44546A"/>
          <w:sz w:val="24"/>
          <w:szCs w:val="24"/>
        </w:rPr>
        <w:t>Información</w:t>
      </w:r>
    </w:p>
    <w:p w14:paraId="5F6B9D4F" w14:textId="77777777" w:rsidR="00963433" w:rsidRDefault="00963433" w:rsidP="00963433">
      <w:pPr>
        <w:ind w:left="1440"/>
        <w:jc w:val="both"/>
        <w:rPr>
          <w:color w:val="44546A"/>
          <w:sz w:val="24"/>
          <w:szCs w:val="24"/>
        </w:rPr>
      </w:pPr>
    </w:p>
    <w:p w14:paraId="3E7ED304" w14:textId="77777777" w:rsidR="00963433" w:rsidRDefault="00963433" w:rsidP="00963433">
      <w:pPr>
        <w:numPr>
          <w:ilvl w:val="0"/>
          <w:numId w:val="3"/>
        </w:numPr>
        <w:jc w:val="both"/>
        <w:rPr>
          <w:b/>
          <w:bCs/>
          <w:color w:val="44546A"/>
          <w:sz w:val="24"/>
          <w:szCs w:val="24"/>
        </w:rPr>
      </w:pPr>
      <w:r>
        <w:rPr>
          <w:b/>
          <w:bCs/>
          <w:color w:val="44546A"/>
          <w:sz w:val="24"/>
          <w:szCs w:val="24"/>
        </w:rPr>
        <w:t>Órganos o unidades encargadas de la ejecución:</w:t>
      </w:r>
    </w:p>
    <w:p w14:paraId="227208D6" w14:textId="77777777" w:rsidR="00963433" w:rsidRDefault="00963433" w:rsidP="00963433">
      <w:pPr>
        <w:numPr>
          <w:ilvl w:val="1"/>
          <w:numId w:val="3"/>
        </w:numPr>
        <w:jc w:val="both"/>
        <w:rPr>
          <w:color w:val="44546A"/>
          <w:sz w:val="24"/>
          <w:szCs w:val="24"/>
        </w:rPr>
      </w:pPr>
      <w:r>
        <w:rPr>
          <w:color w:val="44546A"/>
          <w:sz w:val="24"/>
          <w:szCs w:val="24"/>
        </w:rPr>
        <w:t>Información</w:t>
      </w:r>
    </w:p>
    <w:p w14:paraId="0BC9BF0E" w14:textId="77777777" w:rsidR="00963433" w:rsidRDefault="00963433" w:rsidP="00963433">
      <w:pPr>
        <w:ind w:left="1440"/>
        <w:jc w:val="both"/>
        <w:rPr>
          <w:color w:val="44546A"/>
          <w:sz w:val="24"/>
          <w:szCs w:val="24"/>
        </w:rPr>
      </w:pPr>
    </w:p>
    <w:p w14:paraId="55B3303C" w14:textId="77777777" w:rsidR="00963433" w:rsidRDefault="00963433" w:rsidP="00963433">
      <w:pPr>
        <w:numPr>
          <w:ilvl w:val="0"/>
          <w:numId w:val="3"/>
        </w:numPr>
        <w:jc w:val="both"/>
        <w:rPr>
          <w:b/>
          <w:bCs/>
          <w:color w:val="44546A"/>
          <w:sz w:val="24"/>
          <w:szCs w:val="24"/>
        </w:rPr>
      </w:pPr>
      <w:r>
        <w:rPr>
          <w:b/>
          <w:bCs/>
          <w:color w:val="44546A"/>
          <w:sz w:val="24"/>
          <w:szCs w:val="24"/>
        </w:rPr>
        <w:t>Obligaciones económicas/financiación, con indicación de las cantidades que corresponden a cada una de las empresas firmantes:</w:t>
      </w:r>
    </w:p>
    <w:p w14:paraId="564E57D2" w14:textId="77777777" w:rsidR="00963433" w:rsidRDefault="00963433" w:rsidP="00963433">
      <w:pPr>
        <w:numPr>
          <w:ilvl w:val="1"/>
          <w:numId w:val="3"/>
        </w:numPr>
        <w:jc w:val="both"/>
        <w:rPr>
          <w:color w:val="44546A"/>
          <w:sz w:val="24"/>
          <w:szCs w:val="24"/>
        </w:rPr>
      </w:pPr>
      <w:r>
        <w:rPr>
          <w:color w:val="44546A"/>
          <w:sz w:val="24"/>
          <w:szCs w:val="24"/>
        </w:rPr>
        <w:t>Información</w:t>
      </w:r>
    </w:p>
    <w:p w14:paraId="168BEDF5" w14:textId="77777777" w:rsidR="00963433" w:rsidRDefault="00963433" w:rsidP="00963433">
      <w:pPr>
        <w:ind w:left="1440"/>
        <w:jc w:val="both"/>
        <w:rPr>
          <w:color w:val="44546A"/>
          <w:sz w:val="24"/>
          <w:szCs w:val="24"/>
        </w:rPr>
      </w:pPr>
    </w:p>
    <w:p w14:paraId="11347B3E" w14:textId="77777777" w:rsidR="00963433" w:rsidRDefault="00963433" w:rsidP="00963433">
      <w:pPr>
        <w:numPr>
          <w:ilvl w:val="0"/>
          <w:numId w:val="3"/>
        </w:numPr>
        <w:jc w:val="both"/>
        <w:rPr>
          <w:b/>
          <w:bCs/>
          <w:color w:val="44546A"/>
          <w:sz w:val="24"/>
          <w:szCs w:val="24"/>
        </w:rPr>
      </w:pPr>
      <w:r>
        <w:rPr>
          <w:b/>
          <w:bCs/>
          <w:color w:val="44546A"/>
          <w:sz w:val="24"/>
          <w:szCs w:val="24"/>
        </w:rPr>
        <w:t>Modificaciones realizadas durante la vigencia - objeto y fecha:</w:t>
      </w:r>
    </w:p>
    <w:p w14:paraId="2568A595" w14:textId="77777777" w:rsidR="00963433" w:rsidRDefault="00963433" w:rsidP="00963433">
      <w:pPr>
        <w:numPr>
          <w:ilvl w:val="1"/>
          <w:numId w:val="3"/>
        </w:numPr>
        <w:jc w:val="both"/>
        <w:rPr>
          <w:color w:val="44546A"/>
          <w:sz w:val="24"/>
          <w:szCs w:val="24"/>
        </w:rPr>
      </w:pPr>
      <w:r>
        <w:rPr>
          <w:color w:val="44546A"/>
          <w:sz w:val="24"/>
          <w:szCs w:val="24"/>
        </w:rPr>
        <w:t>Información</w:t>
      </w:r>
    </w:p>
    <w:p w14:paraId="3AA5177A" w14:textId="77777777" w:rsidR="00963433" w:rsidRDefault="00963433" w:rsidP="00963433">
      <w:pPr>
        <w:jc w:val="both"/>
        <w:rPr>
          <w:color w:val="44546A"/>
          <w:sz w:val="24"/>
          <w:szCs w:val="24"/>
        </w:rPr>
      </w:pPr>
      <w:r>
        <w:br w:type="page"/>
      </w:r>
    </w:p>
    <w:p w14:paraId="6A826EB2" w14:textId="4560E453" w:rsidR="00963433" w:rsidRDefault="008518FF" w:rsidP="008518FF">
      <w:pPr>
        <w:numPr>
          <w:ilvl w:val="0"/>
          <w:numId w:val="6"/>
        </w:numPr>
        <w:rPr>
          <w:b/>
          <w:bCs/>
          <w:color w:val="44546A"/>
          <w:sz w:val="24"/>
          <w:szCs w:val="24"/>
        </w:rPr>
      </w:pPr>
      <w:r>
        <w:rPr>
          <w:b/>
          <w:bCs/>
          <w:color w:val="44546A"/>
          <w:sz w:val="24"/>
          <w:szCs w:val="24"/>
        </w:rPr>
        <w:lastRenderedPageBreak/>
        <w:t>AYUDAS Y SUBVENCIONES</w:t>
      </w:r>
    </w:p>
    <w:p w14:paraId="28DD9887" w14:textId="77777777" w:rsidR="00963433" w:rsidRDefault="00963433" w:rsidP="00963433">
      <w:pPr>
        <w:ind w:left="720"/>
        <w:rPr>
          <w:color w:val="44546A"/>
          <w:sz w:val="24"/>
          <w:szCs w:val="24"/>
        </w:rPr>
      </w:pPr>
    </w:p>
    <w:p w14:paraId="637085FF" w14:textId="49CB88E0" w:rsidR="00AC07D8" w:rsidRDefault="00A9638B" w:rsidP="00AC07D8">
      <w:pPr>
        <w:rPr>
          <w:b/>
          <w:bCs/>
          <w:color w:val="44546A"/>
          <w:sz w:val="34"/>
          <w:szCs w:val="34"/>
        </w:rPr>
      </w:pPr>
      <w:bookmarkStart w:id="0" w:name="_GoBack"/>
      <w:r>
        <w:rPr>
          <w:b/>
          <w:bCs/>
          <w:noProof/>
          <w:color w:val="44546A"/>
          <w:sz w:val="34"/>
          <w:szCs w:val="34"/>
          <w:lang w:val="es-ES"/>
        </w:rPr>
        <w:drawing>
          <wp:inline distT="0" distB="0" distL="0" distR="0" wp14:anchorId="204EDDDB" wp14:editId="3353FA38">
            <wp:extent cx="5966417" cy="3886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beco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4080" cy="3891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46006D2" w14:textId="15B27517" w:rsidR="0038141E" w:rsidRDefault="00AC07D8" w:rsidP="00AC07D8">
      <w:pPr>
        <w:spacing w:after="160" w:line="259" w:lineRule="auto"/>
        <w:rPr>
          <w:b/>
          <w:bCs/>
          <w:color w:val="44546A"/>
          <w:sz w:val="34"/>
          <w:szCs w:val="34"/>
        </w:rPr>
      </w:pPr>
      <w:r>
        <w:rPr>
          <w:b/>
          <w:bCs/>
          <w:color w:val="44546A"/>
          <w:sz w:val="34"/>
          <w:szCs w:val="34"/>
        </w:rPr>
        <w:br w:type="page"/>
      </w:r>
    </w:p>
    <w:p w14:paraId="72D5F7A9" w14:textId="5F56EA1B" w:rsidR="00963433" w:rsidRDefault="00963433" w:rsidP="00963433">
      <w:pPr>
        <w:jc w:val="center"/>
        <w:rPr>
          <w:b/>
          <w:bCs/>
          <w:color w:val="44546A"/>
          <w:sz w:val="34"/>
          <w:szCs w:val="34"/>
        </w:rPr>
      </w:pPr>
      <w:r>
        <w:rPr>
          <w:b/>
          <w:bCs/>
          <w:color w:val="44546A"/>
          <w:sz w:val="34"/>
          <w:szCs w:val="34"/>
        </w:rPr>
        <w:lastRenderedPageBreak/>
        <w:t>Canal del Informante</w:t>
      </w:r>
    </w:p>
    <w:p w14:paraId="158B0742" w14:textId="77777777" w:rsidR="00963433" w:rsidRDefault="00963433" w:rsidP="00963433">
      <w:pPr>
        <w:jc w:val="center"/>
        <w:rPr>
          <w:b/>
          <w:bCs/>
          <w:color w:val="44546A"/>
          <w:sz w:val="34"/>
          <w:szCs w:val="34"/>
        </w:rPr>
      </w:pPr>
    </w:p>
    <w:p w14:paraId="11A22202" w14:textId="77777777" w:rsidR="00963433" w:rsidRDefault="00963433" w:rsidP="00963433">
      <w:pPr>
        <w:jc w:val="both"/>
        <w:rPr>
          <w:color w:val="44546A"/>
          <w:sz w:val="24"/>
          <w:szCs w:val="24"/>
        </w:rPr>
      </w:pPr>
      <w:r>
        <w:rPr>
          <w:color w:val="44546A"/>
          <w:sz w:val="24"/>
          <w:szCs w:val="24"/>
        </w:rPr>
        <w:t>La gestión eficiente de denuncias corporativas es fundamental para asegurar la transparencia, la ética y el cumplimiento en las empresas.</w:t>
      </w:r>
    </w:p>
    <w:p w14:paraId="13FF4E97" w14:textId="77777777" w:rsidR="00963433" w:rsidRDefault="00963433" w:rsidP="00963433">
      <w:pPr>
        <w:jc w:val="both"/>
        <w:rPr>
          <w:color w:val="44546A"/>
          <w:sz w:val="24"/>
          <w:szCs w:val="24"/>
        </w:rPr>
      </w:pPr>
    </w:p>
    <w:p w14:paraId="4476C29C" w14:textId="77777777" w:rsidR="00963433" w:rsidRDefault="00963433" w:rsidP="00963433">
      <w:pPr>
        <w:jc w:val="both"/>
        <w:rPr>
          <w:color w:val="44546A"/>
          <w:sz w:val="24"/>
          <w:szCs w:val="24"/>
        </w:rPr>
      </w:pPr>
      <w:r>
        <w:rPr>
          <w:color w:val="44546A"/>
          <w:sz w:val="24"/>
          <w:szCs w:val="24"/>
        </w:rPr>
        <w:t>La gestión de denuncias corporativas abarca el conjunto de procedimientos y políticas establecidas por una empresa para recibir, investigar y resolver denuncias de conductas irregulares, incumplimientos éticos o prácticas ilegales.</w:t>
      </w:r>
    </w:p>
    <w:p w14:paraId="1B14A6A7" w14:textId="77777777" w:rsidR="00963433" w:rsidRDefault="00963433" w:rsidP="00963433">
      <w:pPr>
        <w:jc w:val="both"/>
        <w:rPr>
          <w:color w:val="44546A"/>
          <w:sz w:val="24"/>
          <w:szCs w:val="24"/>
        </w:rPr>
      </w:pPr>
    </w:p>
    <w:p w14:paraId="024A0F31" w14:textId="77777777" w:rsidR="00963433" w:rsidRDefault="00963433" w:rsidP="00963433">
      <w:pPr>
        <w:jc w:val="both"/>
        <w:rPr>
          <w:color w:val="44546A"/>
          <w:sz w:val="24"/>
          <w:szCs w:val="24"/>
        </w:rPr>
      </w:pPr>
      <w:r>
        <w:rPr>
          <w:color w:val="44546A"/>
          <w:sz w:val="24"/>
          <w:szCs w:val="24"/>
        </w:rPr>
        <w:t>Una gestión eficiente de denuncias no solo permite detectar y abordar problemas internos, sino que también demuestra el compromiso de la empresa con la integridad y la responsabilidad.</w:t>
      </w:r>
    </w:p>
    <w:p w14:paraId="6E3578F4" w14:textId="77777777" w:rsidR="00963433" w:rsidRDefault="00963433" w:rsidP="00963433">
      <w:pPr>
        <w:jc w:val="both"/>
        <w:rPr>
          <w:color w:val="44546A"/>
          <w:sz w:val="24"/>
          <w:szCs w:val="24"/>
        </w:rPr>
      </w:pPr>
    </w:p>
    <w:p w14:paraId="146E24A7" w14:textId="77777777" w:rsidR="00963433" w:rsidRDefault="00963433" w:rsidP="00963433">
      <w:pPr>
        <w:jc w:val="both"/>
        <w:rPr>
          <w:color w:val="44546A"/>
          <w:sz w:val="24"/>
          <w:szCs w:val="24"/>
        </w:rPr>
      </w:pPr>
      <w:r>
        <w:rPr>
          <w:color w:val="44546A"/>
          <w:sz w:val="24"/>
          <w:szCs w:val="24"/>
        </w:rPr>
        <w:t>Desde INSEM entendemos que una gestión eficiente de denuncias fomenta una cultura de transparencia, responsabilidad y respeto mutuo.</w:t>
      </w:r>
    </w:p>
    <w:p w14:paraId="6080D662" w14:textId="77777777" w:rsidR="00963433" w:rsidRDefault="00963433" w:rsidP="00963433">
      <w:pPr>
        <w:jc w:val="both"/>
        <w:rPr>
          <w:color w:val="44546A"/>
          <w:sz w:val="24"/>
          <w:szCs w:val="24"/>
        </w:rPr>
      </w:pPr>
    </w:p>
    <w:p w14:paraId="49AD64E3" w14:textId="77777777" w:rsidR="00963433" w:rsidRDefault="00963433" w:rsidP="00963433">
      <w:pPr>
        <w:jc w:val="both"/>
        <w:rPr>
          <w:color w:val="44546A"/>
          <w:sz w:val="24"/>
          <w:szCs w:val="24"/>
        </w:rPr>
      </w:pPr>
      <w:r>
        <w:rPr>
          <w:color w:val="44546A"/>
          <w:sz w:val="24"/>
          <w:szCs w:val="24"/>
        </w:rPr>
        <w:t>De ahí que contemos con un proceso que sirve para gestionar este tipo de situaciones y que sigue los siguientes pasos:</w:t>
      </w:r>
    </w:p>
    <w:p w14:paraId="1C0438E6" w14:textId="77777777" w:rsidR="00963433" w:rsidRDefault="00963433" w:rsidP="00963433">
      <w:pPr>
        <w:jc w:val="both"/>
        <w:rPr>
          <w:color w:val="44546A"/>
          <w:sz w:val="24"/>
          <w:szCs w:val="24"/>
        </w:rPr>
      </w:pPr>
    </w:p>
    <w:p w14:paraId="6907A0A0" w14:textId="77777777" w:rsidR="00963433" w:rsidRDefault="00963433" w:rsidP="00963433">
      <w:pPr>
        <w:numPr>
          <w:ilvl w:val="0"/>
          <w:numId w:val="2"/>
        </w:numPr>
        <w:jc w:val="both"/>
        <w:rPr>
          <w:color w:val="44546A"/>
          <w:sz w:val="24"/>
          <w:szCs w:val="24"/>
        </w:rPr>
      </w:pPr>
      <w:r>
        <w:rPr>
          <w:color w:val="44546A"/>
          <w:sz w:val="24"/>
          <w:szCs w:val="24"/>
        </w:rPr>
        <w:t>Establecer una política de denuncias: INSEM ha establecido una política clara y accesible que describa los procedimientos para presentar denuncias, garantizando la confidencialidad y protección de los denunciantes.</w:t>
      </w:r>
    </w:p>
    <w:p w14:paraId="64AA087E" w14:textId="77777777" w:rsidR="00963433" w:rsidRDefault="00963433" w:rsidP="00963433">
      <w:pPr>
        <w:numPr>
          <w:ilvl w:val="0"/>
          <w:numId w:val="2"/>
        </w:numPr>
        <w:jc w:val="both"/>
        <w:rPr>
          <w:color w:val="44546A"/>
          <w:sz w:val="24"/>
          <w:szCs w:val="24"/>
        </w:rPr>
      </w:pPr>
      <w:r>
        <w:rPr>
          <w:color w:val="44546A"/>
          <w:sz w:val="24"/>
          <w:szCs w:val="24"/>
        </w:rPr>
        <w:t>Disponer de una plataforma y de la tecnología necesaria para que los denunciantes puedan acudir para presentar sus denuncias de manera segura, confidencial y anónima:</w:t>
      </w:r>
    </w:p>
    <w:p w14:paraId="6A14B8F7" w14:textId="77777777" w:rsidR="00963433" w:rsidRDefault="00963433" w:rsidP="00963433">
      <w:pPr>
        <w:ind w:left="720"/>
        <w:jc w:val="both"/>
        <w:rPr>
          <w:color w:val="44546A"/>
          <w:sz w:val="24"/>
          <w:szCs w:val="24"/>
        </w:rPr>
      </w:pPr>
      <w:r>
        <w:rPr>
          <w:color w:val="44546A"/>
          <w:sz w:val="24"/>
          <w:szCs w:val="24"/>
        </w:rPr>
        <w:br/>
        <w:t>admin.happydonia.com/</w:t>
      </w:r>
      <w:proofErr w:type="spellStart"/>
      <w:r>
        <w:rPr>
          <w:color w:val="44546A"/>
          <w:sz w:val="24"/>
          <w:szCs w:val="24"/>
        </w:rPr>
        <w:t>create_complaint</w:t>
      </w:r>
      <w:proofErr w:type="spellEnd"/>
      <w:r>
        <w:rPr>
          <w:color w:val="44546A"/>
          <w:sz w:val="24"/>
          <w:szCs w:val="24"/>
        </w:rPr>
        <w:t>/?</w:t>
      </w:r>
    </w:p>
    <w:p w14:paraId="3808CADA" w14:textId="77777777" w:rsidR="00963433" w:rsidRDefault="00963433" w:rsidP="00963433">
      <w:pPr>
        <w:ind w:left="720"/>
        <w:jc w:val="both"/>
        <w:rPr>
          <w:color w:val="44546A"/>
          <w:sz w:val="24"/>
          <w:szCs w:val="24"/>
        </w:rPr>
      </w:pPr>
      <w:r>
        <w:rPr>
          <w:color w:val="44546A"/>
          <w:sz w:val="24"/>
          <w:szCs w:val="24"/>
        </w:rPr>
        <w:t>token=9crarQ7ejqGqQ8gMsF7CM6uOVF7mJ0vVW08zdhsPXVkmj%2Fshi%2Ba8vuNbdbHICDFc9%2BsqUpx%2BrlqQilRCUyHlFgE1Sdvjo25WrTZbF8J2NY5Nx3LQa2xAwXakBZ1e HBvqCVUSildIWNuoJRSeQeN4lg%3D%3D</w:t>
      </w:r>
    </w:p>
    <w:p w14:paraId="445ACEFB" w14:textId="77777777" w:rsidR="00963433" w:rsidRDefault="00963433" w:rsidP="00963433">
      <w:pPr>
        <w:ind w:left="720"/>
        <w:jc w:val="both"/>
        <w:rPr>
          <w:color w:val="44546A"/>
          <w:sz w:val="24"/>
          <w:szCs w:val="24"/>
        </w:rPr>
      </w:pPr>
    </w:p>
    <w:p w14:paraId="6431D109" w14:textId="6395A678" w:rsidR="00963433" w:rsidRDefault="00963433" w:rsidP="00963433">
      <w:pPr>
        <w:jc w:val="both"/>
        <w:rPr>
          <w:color w:val="44546A"/>
          <w:sz w:val="24"/>
          <w:szCs w:val="24"/>
        </w:rPr>
      </w:pPr>
      <w:r>
        <w:rPr>
          <w:color w:val="44546A"/>
          <w:sz w:val="24"/>
          <w:szCs w:val="24"/>
        </w:rPr>
        <w:t>Esta herramienta nos permite establecer canales de comunicación seguros y confidenciales:</w:t>
      </w:r>
    </w:p>
    <w:p w14:paraId="7F203DA7" w14:textId="77777777" w:rsidR="008518FF" w:rsidRDefault="008518FF" w:rsidP="00963433">
      <w:pPr>
        <w:jc w:val="both"/>
        <w:rPr>
          <w:color w:val="44546A"/>
          <w:sz w:val="24"/>
          <w:szCs w:val="24"/>
        </w:rPr>
      </w:pPr>
    </w:p>
    <w:p w14:paraId="662D35B0" w14:textId="77777777" w:rsidR="00963433" w:rsidRDefault="00963433" w:rsidP="00963433">
      <w:pPr>
        <w:numPr>
          <w:ilvl w:val="0"/>
          <w:numId w:val="2"/>
        </w:numPr>
        <w:jc w:val="both"/>
        <w:rPr>
          <w:color w:val="44546A"/>
          <w:sz w:val="24"/>
          <w:szCs w:val="24"/>
        </w:rPr>
      </w:pPr>
      <w:r>
        <w:rPr>
          <w:color w:val="44546A"/>
          <w:sz w:val="24"/>
          <w:szCs w:val="24"/>
        </w:rPr>
        <w:t>Recopilar información relevante: como la descripción detallada de los incidentes, los nombres de las personas involucradas (si es posible) y cualquier evidencia relevante. Esto facilita la investigación y la toma de medidas adecuadas.</w:t>
      </w:r>
    </w:p>
    <w:p w14:paraId="6F717E98" w14:textId="77777777" w:rsidR="00963433" w:rsidRDefault="00963433" w:rsidP="00963433">
      <w:pPr>
        <w:numPr>
          <w:ilvl w:val="0"/>
          <w:numId w:val="2"/>
        </w:numPr>
        <w:jc w:val="both"/>
        <w:rPr>
          <w:color w:val="44546A"/>
          <w:sz w:val="24"/>
          <w:szCs w:val="24"/>
        </w:rPr>
      </w:pPr>
      <w:r>
        <w:rPr>
          <w:color w:val="44546A"/>
          <w:sz w:val="24"/>
          <w:szCs w:val="24"/>
        </w:rPr>
        <w:t xml:space="preserve">Realizar una investigación exhaustiva: Una vez recibida la denuncia, llevar a cabo una investigación justa, imparcial y exhaustiva. Asignar a profesionales </w:t>
      </w:r>
      <w:r>
        <w:rPr>
          <w:color w:val="44546A"/>
          <w:sz w:val="24"/>
          <w:szCs w:val="24"/>
        </w:rPr>
        <w:lastRenderedPageBreak/>
        <w:t>competentes y objetivos para investigar los hechos, recopilar pruebas adicionales y entrevistar a las partes involucradas de manera confidencial.</w:t>
      </w:r>
    </w:p>
    <w:p w14:paraId="3CC6D71A" w14:textId="77777777" w:rsidR="00C94BAF" w:rsidRDefault="00C94BAF"/>
    <w:sectPr w:rsidR="00C94BAF" w:rsidSect="008518FF">
      <w:headerReference w:type="default" r:id="rId11"/>
      <w:pgSz w:w="11909" w:h="16834"/>
      <w:pgMar w:top="1440" w:right="1440" w:bottom="1440" w:left="1440" w:header="284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EAEAA" w14:textId="77777777" w:rsidR="007F23FB" w:rsidRDefault="007F23FB" w:rsidP="00F25779">
      <w:pPr>
        <w:spacing w:line="240" w:lineRule="auto"/>
      </w:pPr>
      <w:r>
        <w:separator/>
      </w:r>
    </w:p>
  </w:endnote>
  <w:endnote w:type="continuationSeparator" w:id="0">
    <w:p w14:paraId="71BD0F1D" w14:textId="77777777" w:rsidR="007F23FB" w:rsidRDefault="007F23FB" w:rsidP="00F257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1ACCC" w14:textId="77777777" w:rsidR="007F23FB" w:rsidRDefault="007F23FB" w:rsidP="00F25779">
      <w:pPr>
        <w:spacing w:line="240" w:lineRule="auto"/>
      </w:pPr>
      <w:r>
        <w:separator/>
      </w:r>
    </w:p>
  </w:footnote>
  <w:footnote w:type="continuationSeparator" w:id="0">
    <w:p w14:paraId="5A106C44" w14:textId="77777777" w:rsidR="007F23FB" w:rsidRDefault="007F23FB" w:rsidP="00F257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28F5E" w14:textId="507E1D5C" w:rsidR="00EE136C" w:rsidRDefault="008518FF">
    <w:pPr>
      <w:jc w:val="center"/>
      <w:rPr>
        <w:b/>
        <w:bCs/>
        <w:color w:val="44546A"/>
        <w:sz w:val="34"/>
        <w:szCs w:val="34"/>
      </w:rPr>
    </w:pPr>
    <w:r>
      <w:rPr>
        <w:b/>
        <w:bCs/>
        <w:noProof/>
        <w:color w:val="44546A"/>
        <w:sz w:val="34"/>
        <w:szCs w:val="34"/>
        <w:lang w:val="es-ES"/>
      </w:rPr>
      <w:drawing>
        <wp:inline distT="0" distB="0" distL="0" distR="0" wp14:anchorId="11393CD3" wp14:editId="59D1E691">
          <wp:extent cx="1666875" cy="97155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econ_nov21_transparent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672" t="26801" r="24546" b="30486"/>
                  <a:stretch/>
                </pic:blipFill>
                <pic:spPr bwMode="auto">
                  <a:xfrm>
                    <a:off x="0" y="0"/>
                    <a:ext cx="1671715" cy="9743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350AA"/>
    <w:multiLevelType w:val="hybridMultilevel"/>
    <w:tmpl w:val="B344B1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D0B33"/>
    <w:multiLevelType w:val="multilevel"/>
    <w:tmpl w:val="A6C0C1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DF85F56"/>
    <w:multiLevelType w:val="multilevel"/>
    <w:tmpl w:val="4A46D6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6353CB2"/>
    <w:multiLevelType w:val="multilevel"/>
    <w:tmpl w:val="8B9C4B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A97FF7"/>
    <w:multiLevelType w:val="multilevel"/>
    <w:tmpl w:val="F1DAD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2DF348C"/>
    <w:multiLevelType w:val="hybridMultilevel"/>
    <w:tmpl w:val="87F07D64"/>
    <w:lvl w:ilvl="0" w:tplc="5CEA0470">
      <w:start w:val="1"/>
      <w:numFmt w:val="decimal"/>
      <w:lvlText w:val="%1."/>
      <w:lvlJc w:val="left"/>
      <w:pPr>
        <w:ind w:left="720" w:hanging="360"/>
      </w:pPr>
      <w:rPr>
        <w:rFonts w:eastAsia="Arial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33"/>
    <w:rsid w:val="00076D94"/>
    <w:rsid w:val="00114121"/>
    <w:rsid w:val="0038141E"/>
    <w:rsid w:val="0043485D"/>
    <w:rsid w:val="004D7AAD"/>
    <w:rsid w:val="00512CB2"/>
    <w:rsid w:val="00703E20"/>
    <w:rsid w:val="007170F3"/>
    <w:rsid w:val="00797CAF"/>
    <w:rsid w:val="007F23FB"/>
    <w:rsid w:val="008518FF"/>
    <w:rsid w:val="00862C74"/>
    <w:rsid w:val="00963433"/>
    <w:rsid w:val="00A9638B"/>
    <w:rsid w:val="00AC07D8"/>
    <w:rsid w:val="00C10149"/>
    <w:rsid w:val="00C64DF1"/>
    <w:rsid w:val="00C94BAF"/>
    <w:rsid w:val="00D82962"/>
    <w:rsid w:val="00D91F76"/>
    <w:rsid w:val="00E22811"/>
    <w:rsid w:val="00F23F61"/>
    <w:rsid w:val="00F25779"/>
    <w:rsid w:val="00F3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7516B"/>
  <w15:chartTrackingRefBased/>
  <w15:docId w15:val="{8B2C1534-64D9-4315-9E1A-62F7F838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433"/>
    <w:pPr>
      <w:spacing w:after="0" w:line="276" w:lineRule="auto"/>
    </w:pPr>
    <w:rPr>
      <w:rFonts w:ascii="Arial" w:eastAsia="Arial" w:hAnsi="Arial" w:cs="Arial"/>
      <w:lang w:val="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577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779"/>
    <w:rPr>
      <w:rFonts w:ascii="Arial" w:eastAsia="Arial" w:hAnsi="Arial" w:cs="Arial"/>
      <w:lang w:val="es" w:eastAsia="es-ES"/>
    </w:rPr>
  </w:style>
  <w:style w:type="paragraph" w:styleId="Piedepgina">
    <w:name w:val="footer"/>
    <w:basedOn w:val="Normal"/>
    <w:link w:val="PiedepginaCar"/>
    <w:uiPriority w:val="99"/>
    <w:unhideWhenUsed/>
    <w:rsid w:val="00F2577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779"/>
    <w:rPr>
      <w:rFonts w:ascii="Arial" w:eastAsia="Arial" w:hAnsi="Arial" w:cs="Arial"/>
      <w:lang w:val="es" w:eastAsia="es-ES"/>
    </w:rPr>
  </w:style>
  <w:style w:type="paragraph" w:styleId="Prrafodelista">
    <w:name w:val="List Paragraph"/>
    <w:basedOn w:val="Normal"/>
    <w:uiPriority w:val="34"/>
    <w:qFormat/>
    <w:rsid w:val="008518FF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@grupoaspasi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11</Pages>
  <Words>978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Gonzalez Rodriguez</dc:creator>
  <cp:keywords/>
  <dc:description/>
  <cp:lastModifiedBy>Diego Colinas</cp:lastModifiedBy>
  <cp:revision>11</cp:revision>
  <dcterms:created xsi:type="dcterms:W3CDTF">2026-01-27T15:33:00Z</dcterms:created>
  <dcterms:modified xsi:type="dcterms:W3CDTF">2026-01-29T16:17:00Z</dcterms:modified>
</cp:coreProperties>
</file>